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A6ECF6" w14:textId="77777777" w:rsidR="00A42280" w:rsidRDefault="00A42280">
      <w:pPr>
        <w:rPr>
          <w:rFonts w:ascii="Bookman Old Style" w:hAnsi="Bookman Old Style" w:cs="Calibri Light"/>
          <w:b/>
          <w:lang w:val="en-US"/>
        </w:rPr>
      </w:pPr>
    </w:p>
    <w:p w14:paraId="63AC2462" w14:textId="77777777" w:rsidR="002439A4" w:rsidRDefault="00000000">
      <w:pPr>
        <w:spacing w:line="276" w:lineRule="auto"/>
        <w:jc w:val="center"/>
        <w:rPr>
          <w:rFonts w:ascii="Bookman Old Style" w:hAnsi="Bookman Old Style" w:cs="Bookman Old Style"/>
          <w:b/>
          <w:lang w:val="en-US"/>
        </w:rPr>
      </w:pPr>
      <w:r>
        <w:rPr>
          <w:rFonts w:ascii="Bookman Old Style" w:hAnsi="Bookman Old Style" w:cs="Bookman Old Style"/>
          <w:b/>
          <w:lang w:val="en-US"/>
        </w:rPr>
        <w:t xml:space="preserve">CODE-SWITCHING PRACTICES IN BILINGUAL CLASSROOM INTERACTION: A SOCIOLINGUISTIC ANALYSIS OF PEDAGOGICAL AND </w:t>
      </w:r>
    </w:p>
    <w:p w14:paraId="23DD85F1" w14:textId="76CAF87F" w:rsidR="00A42280" w:rsidRDefault="00000000">
      <w:pPr>
        <w:spacing w:line="276" w:lineRule="auto"/>
        <w:jc w:val="center"/>
      </w:pPr>
      <w:r>
        <w:rPr>
          <w:rFonts w:ascii="Bookman Old Style" w:hAnsi="Bookman Old Style" w:cs="Bookman Old Style"/>
          <w:b/>
          <w:lang w:val="en-US"/>
        </w:rPr>
        <w:t>IDENTITY FUNCTIONS</w:t>
      </w:r>
    </w:p>
    <w:p w14:paraId="04682999" w14:textId="77777777" w:rsidR="00A42280" w:rsidRDefault="00A42280">
      <w:pPr>
        <w:jc w:val="center"/>
        <w:rPr>
          <w:rFonts w:ascii="Bookman Old Style" w:hAnsi="Bookman Old Style" w:cs="Calibri Light"/>
          <w:b/>
          <w:bCs/>
          <w:sz w:val="22"/>
          <w:szCs w:val="22"/>
          <w:lang w:val="en-US"/>
        </w:rPr>
      </w:pPr>
    </w:p>
    <w:p w14:paraId="2B108B28" w14:textId="77777777" w:rsidR="00A42280" w:rsidRDefault="00000000">
      <w:pPr>
        <w:spacing w:line="276" w:lineRule="auto"/>
        <w:jc w:val="center"/>
        <w:rPr>
          <w:rFonts w:ascii="Bookman Old Style" w:hAnsi="Bookman Old Style" w:cs="Calibri Light"/>
          <w:b/>
          <w:bCs/>
          <w:sz w:val="22"/>
          <w:szCs w:val="22"/>
          <w:lang w:val="en-US"/>
        </w:rPr>
      </w:pPr>
      <w:r>
        <w:rPr>
          <w:rFonts w:ascii="Bookman Old Style" w:hAnsi="Bookman Old Style" w:cs="Bookman Old Style"/>
          <w:b/>
          <w:sz w:val="22"/>
          <w:szCs w:val="22"/>
          <w:lang w:val="en-US"/>
        </w:rPr>
        <w:t>Fakhrul Rijal</w:t>
      </w:r>
      <w:r>
        <w:rPr>
          <w:rFonts w:ascii="Bookman Old Style" w:hAnsi="Bookman Old Style" w:cs="Bookman Old Style"/>
          <w:sz w:val="22"/>
          <w:vertAlign w:val="superscript"/>
        </w:rPr>
        <w:t>1</w:t>
      </w:r>
    </w:p>
    <w:p w14:paraId="34B73654" w14:textId="77777777" w:rsidR="00A42280" w:rsidRDefault="00000000">
      <w:pPr>
        <w:spacing w:line="276" w:lineRule="auto"/>
        <w:jc w:val="center"/>
        <w:rPr>
          <w:rFonts w:ascii="Bookman Old Style" w:hAnsi="Bookman Old Style" w:cs="Calibri Light"/>
          <w:i/>
          <w:iCs/>
          <w:vertAlign w:val="superscript"/>
          <w:lang w:val="en-US"/>
        </w:rPr>
      </w:pPr>
      <w:r>
        <w:rPr>
          <w:rFonts w:ascii="Bookman Old Style" w:hAnsi="Bookman Old Style" w:cs="Bookman Old Style"/>
          <w:i/>
          <w:iCs/>
          <w:sz w:val="22"/>
          <w:vertAlign w:val="superscript"/>
          <w:lang w:val="en-US"/>
        </w:rPr>
        <w:t>Universitas Islam Negeri Ar Raniry, Indonesia</w:t>
      </w:r>
    </w:p>
    <w:p w14:paraId="73AC0237" w14:textId="77777777" w:rsidR="00A42280" w:rsidRDefault="00000000">
      <w:pPr>
        <w:spacing w:line="276" w:lineRule="auto"/>
        <w:jc w:val="center"/>
        <w:rPr>
          <w:rFonts w:ascii="Bookman Old Style" w:hAnsi="Bookman Old Style" w:cs="Calibri Light"/>
          <w:i/>
          <w:iCs/>
          <w:vertAlign w:val="superscript"/>
          <w:lang w:val="en-US"/>
        </w:rPr>
      </w:pPr>
      <w:r>
        <w:rPr>
          <w:rFonts w:ascii="Bookman Old Style" w:hAnsi="Bookman Old Style" w:cs="Bookman Old Style"/>
          <w:i/>
          <w:iCs/>
          <w:sz w:val="22"/>
          <w:vertAlign w:val="superscript"/>
          <w:lang w:val="en-US"/>
        </w:rPr>
        <w:t xml:space="preserve">Email: fakhrul.rijal@ar-raniry.ac.id </w:t>
      </w:r>
    </w:p>
    <w:p w14:paraId="28DDDFAF" w14:textId="77777777" w:rsidR="00A42280" w:rsidRDefault="00000000">
      <w:pPr>
        <w:spacing w:line="276" w:lineRule="auto"/>
        <w:jc w:val="center"/>
      </w:pPr>
      <w:r>
        <w:rPr>
          <w:rFonts w:ascii="Bookman Old Style" w:hAnsi="Bookman Old Style" w:cs="Bookman Old Style"/>
          <w:b/>
          <w:sz w:val="22"/>
          <w:szCs w:val="22"/>
          <w:lang w:val="en-US"/>
        </w:rPr>
        <w:t>Zaki AL Fuad</w:t>
      </w:r>
      <w:r>
        <w:rPr>
          <w:rFonts w:ascii="Bookman Old Style" w:hAnsi="Bookman Old Style" w:cs="Bookman Old Style"/>
          <w:sz w:val="22"/>
          <w:vertAlign w:val="superscript"/>
        </w:rPr>
        <w:t>2</w:t>
      </w:r>
    </w:p>
    <w:p w14:paraId="62DAFF09" w14:textId="77777777" w:rsidR="00A42280" w:rsidRDefault="00000000">
      <w:pPr>
        <w:spacing w:line="276" w:lineRule="auto"/>
        <w:jc w:val="center"/>
        <w:rPr>
          <w:rFonts w:ascii="Bookman Old Style" w:hAnsi="Bookman Old Style" w:cs="Calibri Light"/>
          <w:i/>
          <w:iCs/>
          <w:vertAlign w:val="superscript"/>
          <w:lang w:val="en-US"/>
        </w:rPr>
      </w:pPr>
      <w:r>
        <w:rPr>
          <w:rFonts w:ascii="Bookman Old Style" w:hAnsi="Bookman Old Style" w:cs="Bookman Old Style"/>
          <w:i/>
          <w:iCs/>
          <w:sz w:val="22"/>
          <w:vertAlign w:val="superscript"/>
          <w:lang w:val="en-US"/>
        </w:rPr>
        <w:t>Universitas Bina Bangsa Getsempena Banda Aceh, Indonesia</w:t>
      </w:r>
    </w:p>
    <w:p w14:paraId="0676DA88" w14:textId="77777777" w:rsidR="00A42280" w:rsidRDefault="00000000">
      <w:pPr>
        <w:spacing w:line="276" w:lineRule="auto"/>
        <w:jc w:val="center"/>
        <w:rPr>
          <w:rFonts w:ascii="Bookman Old Style" w:hAnsi="Bookman Old Style" w:cs="Calibri Light"/>
          <w:i/>
          <w:iCs/>
          <w:vertAlign w:val="superscript"/>
          <w:lang w:val="en-US"/>
        </w:rPr>
      </w:pPr>
      <w:r>
        <w:rPr>
          <w:rFonts w:ascii="Bookman Old Style" w:hAnsi="Bookman Old Style" w:cs="Bookman Old Style"/>
          <w:i/>
          <w:iCs/>
          <w:sz w:val="22"/>
          <w:vertAlign w:val="superscript"/>
          <w:lang w:val="en-US"/>
        </w:rPr>
        <w:t xml:space="preserve">Email: zaki@bbg.ac.id </w:t>
      </w:r>
    </w:p>
    <w:tbl>
      <w:tblPr>
        <w:tblW w:w="7251" w:type="dxa"/>
        <w:jc w:val="center"/>
        <w:tblLayout w:type="fixed"/>
        <w:tblLook w:val="0000" w:firstRow="0" w:lastRow="0" w:firstColumn="0" w:lastColumn="0" w:noHBand="0" w:noVBand="0"/>
      </w:tblPr>
      <w:tblGrid>
        <w:gridCol w:w="7251"/>
      </w:tblGrid>
      <w:tr w:rsidR="00A42280" w14:paraId="30100254" w14:textId="77777777">
        <w:trPr>
          <w:jc w:val="center"/>
        </w:trPr>
        <w:tc>
          <w:tcPr>
            <w:tcW w:w="7251" w:type="dxa"/>
            <w:tcBorders>
              <w:top w:val="single" w:sz="4" w:space="0" w:color="000000"/>
              <w:bottom w:val="single" w:sz="4" w:space="0" w:color="000000"/>
            </w:tcBorders>
          </w:tcPr>
          <w:p w14:paraId="18AA5A37" w14:textId="2D980736" w:rsidR="00A42280" w:rsidRDefault="00F5126B">
            <w:pPr>
              <w:spacing w:line="276" w:lineRule="auto"/>
              <w:ind w:left="-108"/>
              <w:jc w:val="both"/>
              <w:rPr>
                <w:rFonts w:ascii="Bookman Old Style" w:hAnsi="Bookman Old Style" w:cs="Calibri Light"/>
                <w:b/>
                <w:bCs/>
                <w:sz w:val="22"/>
                <w:szCs w:val="22"/>
                <w:lang w:val="en-US"/>
              </w:rPr>
            </w:pPr>
            <w:r>
              <w:rPr>
                <w:rFonts w:ascii="Bookman Old Style" w:hAnsi="Bookman Old Style" w:cs="Bookman Old Style"/>
                <w:b/>
                <w:sz w:val="22"/>
              </w:rPr>
              <w:t xml:space="preserve"> Abstract</w:t>
            </w:r>
          </w:p>
          <w:p w14:paraId="5A53BC68" w14:textId="77777777" w:rsidR="00A42280" w:rsidRDefault="00000000">
            <w:pPr>
              <w:spacing w:line="276" w:lineRule="auto"/>
              <w:jc w:val="both"/>
            </w:pPr>
            <w:r>
              <w:rPr>
                <w:rFonts w:ascii="Bookman Old Style" w:hAnsi="Bookman Old Style" w:cs="Bookman Old Style"/>
                <w:i/>
                <w:sz w:val="22"/>
              </w:rPr>
              <w:t xml:space="preserve">Code-switching is a common communicative practice in bilingual classrooms, particularly in contexts where teachers and students share more than one linguistic repertoire. Although code-switching is sometimes viewed as a sign of linguistic deficiency or lack of target language exposure, sociolinguistic perspectives understand it as a meaningful interactional resource that can support explanation, classroom management, identity negotiation, and participation. This study aims to analyze code-switching practices in bilingual classroom interaction and to examine their pedagogical and sociolinguistic functions. A qualitative classroom discourse study was conducted in three bilingual secondary classrooms. Data were collected through classroom observations, audio-video recordings, teacher interviews, student focus group discussions, and field notes. The data were analyzed using interactional sociolinguistic analysis and thematic coding. The findings revealed that code-switching occurred in three major patterns: inter-sentential switching, intra-sentential switching, and tag switching. The functions of code-switching included clarifying academic content, managing classroom interaction, scaffolding students' comprehension, emphasizing key concepts, building interpersonal </w:t>
            </w:r>
            <w:r>
              <w:rPr>
                <w:rFonts w:ascii="Bookman Old Style" w:hAnsi="Bookman Old Style" w:cs="Bookman Old Style"/>
                <w:i/>
                <w:sz w:val="22"/>
              </w:rPr>
              <w:lastRenderedPageBreak/>
              <w:t>solidarity, and negotiating bilingual identity. The findings also showed that students perceived teacher code-switching positively when it helped them understand difficult concepts, but they were less supportive when switching reduced opportunities to use the target language. The study concludes that code-switching should not be treated as random language alternation but as a strategic sociolinguistic practice that requires pedagogical awareness, functional control, and balanced target language exposure.</w:t>
            </w:r>
          </w:p>
          <w:p w14:paraId="596FC61C" w14:textId="77777777" w:rsidR="00A42280" w:rsidRDefault="00000000">
            <w:pPr>
              <w:spacing w:line="276" w:lineRule="auto"/>
              <w:jc w:val="both"/>
            </w:pPr>
            <w:r>
              <w:rPr>
                <w:rFonts w:ascii="Bookman Old Style" w:hAnsi="Bookman Old Style" w:cs="Bookman Old Style"/>
                <w:b/>
                <w:sz w:val="22"/>
              </w:rPr>
              <w:t xml:space="preserve">Keywords: </w:t>
            </w:r>
            <w:r>
              <w:rPr>
                <w:rFonts w:ascii="Bookman Old Style" w:hAnsi="Bookman Old Style" w:cs="Bookman Old Style"/>
                <w:i/>
                <w:sz w:val="22"/>
              </w:rPr>
              <w:t>code-switching; bilingual classroom; classroom interaction; sociolinguistics; language education</w:t>
            </w:r>
          </w:p>
        </w:tc>
      </w:tr>
      <w:tr w:rsidR="00A42280" w14:paraId="712C5133" w14:textId="77777777">
        <w:trPr>
          <w:jc w:val="center"/>
        </w:trPr>
        <w:tc>
          <w:tcPr>
            <w:tcW w:w="7251" w:type="dxa"/>
            <w:tcBorders>
              <w:top w:val="single" w:sz="4" w:space="0" w:color="000000"/>
              <w:bottom w:val="single" w:sz="4" w:space="0" w:color="000000"/>
            </w:tcBorders>
          </w:tcPr>
          <w:p w14:paraId="71362867" w14:textId="77777777" w:rsidR="00A42280" w:rsidRDefault="00000000">
            <w:pPr>
              <w:spacing w:before="120" w:line="360" w:lineRule="auto"/>
              <w:ind w:left="-108"/>
              <w:jc w:val="both"/>
            </w:pPr>
            <w:r>
              <w:lastRenderedPageBreak/>
              <w:t>Article history</w:t>
            </w:r>
          </w:p>
          <w:tbl>
            <w:tblPr>
              <w:tblW w:w="7020" w:type="dxa"/>
              <w:tblInd w:w="35" w:type="dxa"/>
              <w:tblLayout w:type="fixed"/>
              <w:tblLook w:val="0000" w:firstRow="0" w:lastRow="0" w:firstColumn="0" w:lastColumn="0" w:noHBand="0" w:noVBand="0"/>
            </w:tblPr>
            <w:tblGrid>
              <w:gridCol w:w="2340"/>
              <w:gridCol w:w="2340"/>
              <w:gridCol w:w="2340"/>
            </w:tblGrid>
            <w:tr w:rsidR="00A42280" w14:paraId="2D21A066" w14:textId="77777777" w:rsidTr="002439A4">
              <w:tc>
                <w:tcPr>
                  <w:tcW w:w="2340" w:type="dxa"/>
                </w:tcPr>
                <w:p w14:paraId="45B8FA18" w14:textId="77777777" w:rsidR="00A42280"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Received</w:t>
                  </w:r>
                </w:p>
              </w:tc>
              <w:tc>
                <w:tcPr>
                  <w:tcW w:w="2340" w:type="dxa"/>
                </w:tcPr>
                <w:p w14:paraId="645F3C2A" w14:textId="77777777" w:rsidR="00A42280"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Accepted</w:t>
                  </w:r>
                </w:p>
              </w:tc>
              <w:tc>
                <w:tcPr>
                  <w:tcW w:w="2340" w:type="dxa"/>
                </w:tcPr>
                <w:p w14:paraId="3494021B" w14:textId="77777777" w:rsidR="00A42280"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Published</w:t>
                  </w:r>
                </w:p>
              </w:tc>
            </w:tr>
            <w:tr w:rsidR="00A42280" w14:paraId="1A0EB8C9" w14:textId="77777777" w:rsidTr="002439A4">
              <w:tc>
                <w:tcPr>
                  <w:tcW w:w="2340" w:type="dxa"/>
                </w:tcPr>
                <w:p w14:paraId="7E1333AE" w14:textId="70500B09" w:rsidR="00A42280"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Date:</w:t>
                  </w:r>
                  <w:r w:rsidR="00F5126B">
                    <w:rPr>
                      <w:rFonts w:ascii="Bookman Old Style" w:hAnsi="Bookman Old Style" w:cs="Calibri Light"/>
                      <w:i/>
                      <w:iCs/>
                      <w:sz w:val="18"/>
                      <w:szCs w:val="18"/>
                      <w:lang w:val="en-US"/>
                    </w:rPr>
                    <w:t xml:space="preserve"> 1 July 2023</w:t>
                  </w:r>
                </w:p>
              </w:tc>
              <w:tc>
                <w:tcPr>
                  <w:tcW w:w="2340" w:type="dxa"/>
                </w:tcPr>
                <w:p w14:paraId="41B2971E" w14:textId="7A7E1B9C" w:rsidR="00A42280"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Date:</w:t>
                  </w:r>
                  <w:r w:rsidR="00F5126B">
                    <w:rPr>
                      <w:rFonts w:ascii="Bookman Old Style" w:hAnsi="Bookman Old Style" w:cs="Calibri Light"/>
                      <w:i/>
                      <w:iCs/>
                      <w:sz w:val="18"/>
                      <w:szCs w:val="18"/>
                      <w:lang w:val="en-US"/>
                    </w:rPr>
                    <w:t xml:space="preserve"> July 23, 2023</w:t>
                  </w:r>
                </w:p>
              </w:tc>
              <w:tc>
                <w:tcPr>
                  <w:tcW w:w="2340" w:type="dxa"/>
                </w:tcPr>
                <w:p w14:paraId="7B5C2BF1" w14:textId="4323ACC8" w:rsidR="00A42280" w:rsidRDefault="00000000">
                  <w:pPr>
                    <w:jc w:val="both"/>
                    <w:rPr>
                      <w:rFonts w:ascii="Bookman Old Style" w:hAnsi="Bookman Old Style" w:cs="Calibri Light"/>
                      <w:i/>
                      <w:iCs/>
                      <w:sz w:val="18"/>
                      <w:szCs w:val="18"/>
                      <w:lang w:val="en-US"/>
                    </w:rPr>
                  </w:pPr>
                  <w:r>
                    <w:rPr>
                      <w:rFonts w:ascii="Bookman Old Style" w:hAnsi="Bookman Old Style" w:cs="Calibri Light"/>
                      <w:i/>
                      <w:iCs/>
                      <w:sz w:val="18"/>
                      <w:szCs w:val="18"/>
                      <w:lang w:val="en-US"/>
                    </w:rPr>
                    <w:t>Date:</w:t>
                  </w:r>
                  <w:r w:rsidR="00F5126B">
                    <w:rPr>
                      <w:rFonts w:ascii="Bookman Old Style" w:hAnsi="Bookman Old Style" w:cs="Calibri Light"/>
                      <w:i/>
                      <w:iCs/>
                      <w:sz w:val="18"/>
                      <w:szCs w:val="18"/>
                      <w:lang w:val="en-US"/>
                    </w:rPr>
                    <w:t xml:space="preserve"> </w:t>
                  </w:r>
                  <w:r w:rsidR="00B47184">
                    <w:rPr>
                      <w:rFonts w:ascii="Bookman Old Style" w:hAnsi="Bookman Old Style" w:cs="Calibri Light"/>
                      <w:i/>
                      <w:iCs/>
                      <w:sz w:val="18"/>
                      <w:szCs w:val="18"/>
                      <w:lang w:val="en-US"/>
                    </w:rPr>
                    <w:t>November</w:t>
                  </w:r>
                  <w:r w:rsidR="00F5126B">
                    <w:rPr>
                      <w:rFonts w:ascii="Bookman Old Style" w:hAnsi="Bookman Old Style" w:cs="Calibri Light"/>
                      <w:i/>
                      <w:iCs/>
                      <w:sz w:val="18"/>
                      <w:szCs w:val="18"/>
                      <w:lang w:val="en-US"/>
                    </w:rPr>
                    <w:t xml:space="preserve"> 15, 2023</w:t>
                  </w:r>
                </w:p>
              </w:tc>
            </w:tr>
          </w:tbl>
          <w:p w14:paraId="41D3B0A4" w14:textId="77777777" w:rsidR="00A42280" w:rsidRDefault="00A42280">
            <w:pPr>
              <w:spacing w:before="120" w:line="360" w:lineRule="auto"/>
              <w:ind w:left="-108"/>
              <w:jc w:val="both"/>
              <w:rPr>
                <w:rFonts w:ascii="Bookman Old Style" w:hAnsi="Bookman Old Style" w:cs="Calibri Light"/>
                <w:b/>
                <w:bCs/>
                <w:sz w:val="22"/>
                <w:szCs w:val="22"/>
                <w:lang w:val="en-US"/>
              </w:rPr>
            </w:pPr>
          </w:p>
        </w:tc>
      </w:tr>
    </w:tbl>
    <w:p w14:paraId="4C34189F" w14:textId="3C596A40" w:rsidR="00A42280" w:rsidRDefault="00F5126B">
      <w:pPr>
        <w:pStyle w:val="DaftarParagraf"/>
        <w:keepNext/>
        <w:shd w:val="clear" w:color="auto" w:fill="FFFFFF"/>
        <w:spacing w:after="0"/>
        <w:ind w:left="0"/>
        <w:jc w:val="both"/>
        <w:rPr>
          <w:rFonts w:ascii="Bookman Old Style" w:hAnsi="Bookman Old Style" w:cs="Calibri Light"/>
          <w:b/>
          <w:lang w:val="en-US"/>
        </w:rPr>
      </w:pPr>
      <w:r>
        <w:rPr>
          <w:rFonts w:ascii="Bookman Old Style" w:hAnsi="Bookman Old Style" w:cs="Calibri Light"/>
          <w:b/>
          <w:lang w:val="en-US"/>
        </w:rPr>
        <w:br/>
        <w:t>A. Introduction</w:t>
      </w:r>
    </w:p>
    <w:p w14:paraId="05A178C9" w14:textId="77777777" w:rsidR="00A42280" w:rsidRDefault="00000000">
      <w:pPr>
        <w:spacing w:line="276" w:lineRule="auto"/>
        <w:ind w:firstLine="720"/>
        <w:jc w:val="both"/>
      </w:pPr>
      <w:r>
        <w:rPr>
          <w:rFonts w:ascii="Bookman Old Style" w:hAnsi="Bookman Old Style" w:cs="Bookman Old Style"/>
          <w:sz w:val="22"/>
        </w:rPr>
        <w:t>Bilingual classroom interaction is a space where teachers and students negotiate meaning through more than one language, switching codes to explain concepts, manage interaction, and express identity—a practice that is pedagogical and social, not merely linguistic.</w:t>
      </w:r>
    </w:p>
    <w:p w14:paraId="1EA37583" w14:textId="77777777" w:rsidR="00A42280" w:rsidRDefault="00000000">
      <w:pPr>
        <w:spacing w:line="276" w:lineRule="auto"/>
        <w:ind w:firstLine="720"/>
        <w:jc w:val="both"/>
      </w:pPr>
      <w:r>
        <w:rPr>
          <w:rFonts w:ascii="Bookman Old Style" w:hAnsi="Bookman Old Style" w:cs="Bookman Old Style"/>
          <w:sz w:val="22"/>
        </w:rPr>
        <w:t>Code-switching is the alternation of two or more languages within a conversation—between or within sentences, or through discourse markers—common across EFL, bilingual, and multilingual classrooms.</w:t>
      </w:r>
    </w:p>
    <w:p w14:paraId="7FDFE8CB" w14:textId="77777777" w:rsidR="00A42280" w:rsidRDefault="00000000">
      <w:pPr>
        <w:spacing w:line="276" w:lineRule="auto"/>
        <w:ind w:firstLine="720"/>
        <w:jc w:val="both"/>
      </w:pPr>
      <w:r>
        <w:rPr>
          <w:rFonts w:ascii="Bookman Old Style" w:hAnsi="Bookman Old Style" w:cs="Bookman Old Style"/>
          <w:sz w:val="22"/>
        </w:rPr>
        <w:t>Some argue teachers should maximize target-language use for fluency, while others argue excluding students' shared language creates barriers to comprehension—so code-switching is useful when purposeful rather than habitual.</w:t>
      </w:r>
    </w:p>
    <w:p w14:paraId="4BF2BB84" w14:textId="77777777" w:rsidR="00A42280" w:rsidRDefault="00000000">
      <w:pPr>
        <w:spacing w:line="276" w:lineRule="auto"/>
        <w:ind w:firstLine="720"/>
        <w:jc w:val="both"/>
      </w:pPr>
      <w:r>
        <w:rPr>
          <w:rFonts w:ascii="Bookman Old Style" w:hAnsi="Bookman Old Style" w:cs="Bookman Old Style"/>
          <w:sz w:val="22"/>
        </w:rPr>
        <w:t>A sociolinguistic perspective sees language choice as socially meaningful, signaling topic shift, emphasis, or identity; Gumperz frames alternation as a contextualization cue, and studies show it is often orderly and goal-directed (Ferguson, 2003; Lin, 2013; Üstünel &amp; Seedhouse, 2005).</w:t>
      </w:r>
    </w:p>
    <w:p w14:paraId="3A1095E3" w14:textId="77777777" w:rsidR="00A42280" w:rsidRDefault="00000000">
      <w:pPr>
        <w:spacing w:line="276" w:lineRule="auto"/>
        <w:ind w:firstLine="720"/>
        <w:jc w:val="both"/>
      </w:pPr>
      <w:r>
        <w:rPr>
          <w:rFonts w:ascii="Bookman Old Style" w:hAnsi="Bookman Old Style" w:cs="Bookman Old Style"/>
          <w:sz w:val="22"/>
        </w:rPr>
        <w:t xml:space="preserve">Ferguson (2003) linked switching to curriculum access; Üstünel and Seedhouse (2005) tied it to pedagogical focus; Lin </w:t>
      </w:r>
      <w:r>
        <w:rPr>
          <w:rFonts w:ascii="Bookman Old Style" w:hAnsi="Bookman Old Style" w:cs="Bookman Old Style"/>
          <w:sz w:val="22"/>
        </w:rPr>
        <w:lastRenderedPageBreak/>
        <w:t>(2013) urged moving beyond monolingual assumptions; Cahyani et al. (2018) found pedagogical and sociocultural functions.</w:t>
      </w:r>
    </w:p>
    <w:p w14:paraId="295304A0" w14:textId="77777777" w:rsidR="00A42280" w:rsidRDefault="00000000">
      <w:pPr>
        <w:spacing w:line="276" w:lineRule="auto"/>
        <w:ind w:firstLine="720"/>
        <w:jc w:val="both"/>
      </w:pPr>
      <w:r>
        <w:rPr>
          <w:rFonts w:ascii="Bookman Old Style" w:hAnsi="Bookman Old Style" w:cs="Bookman Old Style"/>
          <w:sz w:val="22"/>
        </w:rPr>
        <w:t>In multilingual Indonesian classrooms, students use local languages at home, Indonesian nationally, and English at school—teachers switch to explain vocabulary or build rapport, students to question or negotiate tasks.</w:t>
      </w:r>
    </w:p>
    <w:p w14:paraId="70E53BD3" w14:textId="77777777" w:rsidR="00A42280" w:rsidRDefault="00000000">
      <w:pPr>
        <w:spacing w:line="276" w:lineRule="auto"/>
        <w:ind w:firstLine="720"/>
        <w:jc w:val="both"/>
      </w:pPr>
      <w:r>
        <w:rPr>
          <w:rFonts w:ascii="Bookman Old Style" w:hAnsi="Bookman Old Style" w:cs="Bookman Old Style"/>
          <w:sz w:val="22"/>
        </w:rPr>
        <w:t>However, excessive switching may reduce target-language exposure or reproduce unequal language ideologies, so research must examine not just when switching occurs but what it does in interaction.</w:t>
      </w:r>
    </w:p>
    <w:p w14:paraId="2534F55B" w14:textId="77777777" w:rsidR="00A42280" w:rsidRDefault="00000000">
      <w:pPr>
        <w:spacing w:line="276" w:lineRule="auto"/>
        <w:ind w:firstLine="720"/>
        <w:jc w:val="both"/>
      </w:pPr>
      <w:r>
        <w:rPr>
          <w:rFonts w:ascii="Bookman Old Style" w:hAnsi="Bookman Old Style" w:cs="Bookman Old Style"/>
          <w:sz w:val="22"/>
        </w:rPr>
        <w:t>This study asks: what patterns of code-switching occur, what functions they serve, how teachers and students perceive them, and what implications arise for bilingual pedagogy.</w:t>
      </w:r>
    </w:p>
    <w:p w14:paraId="7BB56684" w14:textId="77777777" w:rsidR="00A42280" w:rsidRDefault="00000000">
      <w:pPr>
        <w:pStyle w:val="DaftarParagraf"/>
        <w:keepNext/>
        <w:spacing w:before="200" w:after="0"/>
        <w:ind w:left="0"/>
        <w:jc w:val="both"/>
      </w:pPr>
      <w:r>
        <w:rPr>
          <w:rFonts w:ascii="Bookman Old Style" w:hAnsi="Bookman Old Style" w:cs="Bookman Old Style"/>
          <w:b/>
        </w:rPr>
        <w:t>B. Method</w:t>
      </w:r>
    </w:p>
    <w:p w14:paraId="792ADA93" w14:textId="77777777" w:rsidR="00A42280" w:rsidRDefault="00000000">
      <w:pPr>
        <w:spacing w:line="276" w:lineRule="auto"/>
        <w:ind w:firstLine="720"/>
        <w:jc w:val="both"/>
      </w:pPr>
      <w:r>
        <w:rPr>
          <w:rFonts w:ascii="Bookman Old Style" w:hAnsi="Bookman Old Style" w:cs="Bookman Old Style"/>
          <w:sz w:val="22"/>
        </w:rPr>
        <w:t>This study used a qualitative classroom discourse design with a sociolinguistic perspective, interpreting the meanings and patterns of code-switching rather than measuring achievement statistically.</w:t>
      </w:r>
    </w:p>
    <w:p w14:paraId="7C102692" w14:textId="77777777" w:rsidR="00A42280" w:rsidRDefault="00000000">
      <w:pPr>
        <w:spacing w:line="276" w:lineRule="auto"/>
        <w:ind w:firstLine="720"/>
        <w:jc w:val="both"/>
      </w:pPr>
      <w:r>
        <w:rPr>
          <w:rFonts w:ascii="Bookman Old Style" w:hAnsi="Bookman Old Style" w:cs="Bookman Old Style"/>
          <w:sz w:val="22"/>
        </w:rPr>
        <w:t>The study was conducted in three bilingual secondary classrooms with three teachers and 87 Grade VIII-IX students of varied English proficiency.</w:t>
      </w:r>
    </w:p>
    <w:p w14:paraId="12A4A1E8" w14:textId="77777777" w:rsidR="00A42280" w:rsidRDefault="00000000">
      <w:pPr>
        <w:spacing w:line="276" w:lineRule="auto"/>
        <w:ind w:firstLine="720"/>
        <w:jc w:val="both"/>
      </w:pPr>
      <w:r>
        <w:rPr>
          <w:rFonts w:ascii="Bookman Old Style" w:hAnsi="Bookman Old Style" w:cs="Bookman Old Style"/>
          <w:sz w:val="22"/>
        </w:rPr>
        <w:t>Data came from observation, audio-video recording, teacher interviews, student focus groups, and field notes across twelve 80-minute meetings (~16 hours), coded for patterns and functions.</w:t>
      </w:r>
    </w:p>
    <w:p w14:paraId="50E4064A" w14:textId="77777777" w:rsidR="00A42280" w:rsidRDefault="00000000">
      <w:pPr>
        <w:spacing w:line="276" w:lineRule="auto"/>
        <w:ind w:firstLine="720"/>
        <w:jc w:val="both"/>
      </w:pPr>
      <w:r>
        <w:rPr>
          <w:rFonts w:ascii="Bookman Old Style" w:hAnsi="Bookman Old Style" w:cs="Bookman Old Style"/>
          <w:sz w:val="22"/>
        </w:rPr>
        <w:t>Teacher interviews explored reasons for switching; focus groups with 18 students explored perceptions of benefits, limitations, and influence on confidence.</w:t>
      </w:r>
    </w:p>
    <w:p w14:paraId="56D229E3" w14:textId="77777777" w:rsidR="00A42280" w:rsidRDefault="00000000">
      <w:pPr>
        <w:spacing w:line="276" w:lineRule="auto"/>
        <w:ind w:firstLine="720"/>
        <w:jc w:val="both"/>
      </w:pPr>
      <w:r>
        <w:rPr>
          <w:rFonts w:ascii="Bookman Old Style" w:hAnsi="Bookman Old Style" w:cs="Bookman Old Style"/>
          <w:sz w:val="22"/>
        </w:rPr>
        <w:t>Analysis segmented transcripts into episodes, categorized each switch by structural pattern, then interpreted function via interactional sociolinguistic analysis.</w:t>
      </w:r>
    </w:p>
    <w:p w14:paraId="579DBD9C" w14:textId="77777777" w:rsidR="00A42280" w:rsidRDefault="00000000">
      <w:pPr>
        <w:spacing w:line="276" w:lineRule="auto"/>
        <w:ind w:firstLine="720"/>
        <w:jc w:val="both"/>
      </w:pPr>
      <w:r>
        <w:rPr>
          <w:rFonts w:ascii="Bookman Old Style" w:hAnsi="Bookman Old Style" w:cs="Bookman Old Style"/>
          <w:sz w:val="22"/>
        </w:rPr>
        <w:t>The study identified 486 code-switching instances, used descriptively for dominant patterns while analysis focused on interactional meaning.</w:t>
      </w:r>
    </w:p>
    <w:p w14:paraId="597FE2D6" w14:textId="77777777" w:rsidR="00A42280" w:rsidRDefault="00000000">
      <w:pPr>
        <w:spacing w:line="276" w:lineRule="auto"/>
        <w:ind w:firstLine="720"/>
        <w:jc w:val="both"/>
      </w:pPr>
      <w:r>
        <w:rPr>
          <w:rFonts w:ascii="Bookman Old Style" w:hAnsi="Bookman Old Style" w:cs="Bookman Old Style"/>
          <w:sz w:val="22"/>
        </w:rPr>
        <w:t>Trustworthiness was ensured through triangulation, member checking, peer debriefing, and standard ethical procedures.</w:t>
      </w:r>
    </w:p>
    <w:p w14:paraId="1A2E0B6E" w14:textId="77777777" w:rsidR="00A42280" w:rsidRDefault="00000000">
      <w:pPr>
        <w:pStyle w:val="DaftarParagraf"/>
        <w:keepNext/>
        <w:spacing w:before="200" w:after="0"/>
        <w:ind w:left="0"/>
        <w:jc w:val="both"/>
      </w:pPr>
      <w:r>
        <w:rPr>
          <w:rFonts w:ascii="Bookman Old Style" w:hAnsi="Bookman Old Style" w:cs="Bookman Old Style"/>
          <w:b/>
        </w:rPr>
        <w:lastRenderedPageBreak/>
        <w:t>C. Finding and Discussion</w:t>
      </w:r>
    </w:p>
    <w:p w14:paraId="73792CB6" w14:textId="77777777" w:rsidR="00A42280" w:rsidRDefault="00000000">
      <w:pPr>
        <w:keepNext/>
        <w:spacing w:before="200" w:line="276" w:lineRule="auto"/>
      </w:pPr>
      <w:r>
        <w:rPr>
          <w:rFonts w:ascii="Bookman Old Style" w:hAnsi="Bookman Old Style" w:cs="Bookman Old Style"/>
          <w:b/>
          <w:sz w:val="22"/>
        </w:rPr>
        <w:t>1. Finding</w:t>
      </w:r>
    </w:p>
    <w:p w14:paraId="0AB53356" w14:textId="77777777" w:rsidR="00A42280" w:rsidRDefault="00000000">
      <w:pPr>
        <w:spacing w:line="276" w:lineRule="auto"/>
        <w:ind w:firstLine="720"/>
        <w:jc w:val="both"/>
      </w:pPr>
      <w:r>
        <w:rPr>
          <w:rFonts w:ascii="Bookman Old Style" w:hAnsi="Bookman Old Style" w:cs="Bookman Old Style"/>
          <w:sz w:val="22"/>
        </w:rPr>
        <w:t>Findings are presented in four parts: patterns of code-switching, pedagogical functions, sociolinguistic and identity functions, and teacher/student perceptions.</w:t>
      </w:r>
    </w:p>
    <w:p w14:paraId="647F2F66" w14:textId="77777777" w:rsidR="00A42280" w:rsidRDefault="00000000">
      <w:pPr>
        <w:keepNext/>
        <w:spacing w:before="200" w:line="276" w:lineRule="auto"/>
      </w:pPr>
      <w:r>
        <w:rPr>
          <w:rFonts w:ascii="Bookman Old Style" w:hAnsi="Bookman Old Style" w:cs="Bookman Old Style"/>
          <w:b/>
          <w:sz w:val="22"/>
        </w:rPr>
        <w:t>Patterns of Code-Switching in Bilingual Classroom Interaction</w:t>
      </w:r>
    </w:p>
    <w:p w14:paraId="7E4A4EFE" w14:textId="77777777" w:rsidR="00A42280" w:rsidRDefault="00000000">
      <w:pPr>
        <w:spacing w:line="276" w:lineRule="auto"/>
        <w:ind w:firstLine="720"/>
        <w:jc w:val="both"/>
      </w:pPr>
      <w:r>
        <w:rPr>
          <w:rFonts w:ascii="Bookman Old Style" w:hAnsi="Bookman Old Style" w:cs="Bookman Old Style"/>
          <w:sz w:val="22"/>
        </w:rPr>
        <w:t>Three major patterns emerged: inter-sentential switching (between clauses/sentences), intra-sentential switching (within a sentence), and tag switching (short expressions or discourse markers).</w:t>
      </w:r>
    </w:p>
    <w:p w14:paraId="03C5588B" w14:textId="77777777" w:rsidR="00A42280" w:rsidRDefault="00000000">
      <w:pPr>
        <w:keepNext/>
        <w:spacing w:before="100" w:line="276" w:lineRule="auto"/>
      </w:pPr>
      <w:r>
        <w:rPr>
          <w:rFonts w:ascii="Bookman Old Style" w:hAnsi="Bookman Old Style" w:cs="Bookman Old Style"/>
          <w:sz w:val="22"/>
        </w:rPr>
        <w:t>Table 1. Patterns of Code-Switching in Bilingual Classroom Interaction</w:t>
      </w:r>
    </w:p>
    <w:tbl>
      <w:tblPr>
        <w:tblW w:w="0" w:type="auto"/>
        <w:jc w:val="center"/>
        <w:tblCellMar>
          <w:top w:w="20" w:type="dxa"/>
          <w:left w:w="80" w:type="dxa"/>
          <w:bottom w:w="20" w:type="dxa"/>
          <w:right w:w="80" w:type="dxa"/>
        </w:tblCellMar>
        <w:tblLook w:val="04A0" w:firstRow="1" w:lastRow="0" w:firstColumn="1" w:lastColumn="0" w:noHBand="0" w:noVBand="1"/>
      </w:tblPr>
      <w:tblGrid>
        <w:gridCol w:w="1417"/>
        <w:gridCol w:w="1454"/>
        <w:gridCol w:w="1458"/>
        <w:gridCol w:w="1462"/>
        <w:gridCol w:w="1465"/>
      </w:tblGrid>
      <w:tr w:rsidR="00A42280" w14:paraId="3E11D056" w14:textId="77777777">
        <w:trPr>
          <w:jc w:val="center"/>
        </w:trPr>
        <w:tc>
          <w:tcPr>
            <w:tcW w:w="1485" w:type="dxa"/>
            <w:tcBorders>
              <w:top w:val="single" w:sz="4" w:space="0" w:color="000000"/>
              <w:left w:val="nil"/>
              <w:bottom w:val="single" w:sz="4" w:space="0" w:color="000000"/>
              <w:right w:val="nil"/>
            </w:tcBorders>
          </w:tcPr>
          <w:p w14:paraId="44E2801F" w14:textId="77777777" w:rsidR="00A42280" w:rsidRDefault="00000000">
            <w:pPr>
              <w:spacing w:line="276" w:lineRule="auto"/>
              <w:jc w:val="center"/>
            </w:pPr>
            <w:r>
              <w:rPr>
                <w:rFonts w:ascii="Bookman Old Style" w:hAnsi="Bookman Old Style" w:cs="Bookman Old Style"/>
                <w:b/>
                <w:sz w:val="18"/>
              </w:rPr>
              <w:t>No.</w:t>
            </w:r>
          </w:p>
        </w:tc>
        <w:tc>
          <w:tcPr>
            <w:tcW w:w="1485" w:type="dxa"/>
            <w:tcBorders>
              <w:top w:val="single" w:sz="4" w:space="0" w:color="000000"/>
              <w:left w:val="nil"/>
              <w:bottom w:val="single" w:sz="4" w:space="0" w:color="000000"/>
              <w:right w:val="nil"/>
            </w:tcBorders>
          </w:tcPr>
          <w:p w14:paraId="405A04DF" w14:textId="77777777" w:rsidR="00A42280" w:rsidRDefault="00000000">
            <w:pPr>
              <w:spacing w:line="276" w:lineRule="auto"/>
              <w:jc w:val="center"/>
            </w:pPr>
            <w:r>
              <w:rPr>
                <w:rFonts w:ascii="Bookman Old Style" w:hAnsi="Bookman Old Style" w:cs="Bookman Old Style"/>
                <w:b/>
                <w:sz w:val="18"/>
              </w:rPr>
              <w:t>Code-Switching Pattern</w:t>
            </w:r>
          </w:p>
        </w:tc>
        <w:tc>
          <w:tcPr>
            <w:tcW w:w="1485" w:type="dxa"/>
            <w:tcBorders>
              <w:top w:val="single" w:sz="4" w:space="0" w:color="000000"/>
              <w:left w:val="nil"/>
              <w:bottom w:val="single" w:sz="4" w:space="0" w:color="000000"/>
              <w:right w:val="nil"/>
            </w:tcBorders>
          </w:tcPr>
          <w:p w14:paraId="5879B028" w14:textId="77777777" w:rsidR="00A42280" w:rsidRDefault="00000000">
            <w:pPr>
              <w:spacing w:line="276" w:lineRule="auto"/>
              <w:jc w:val="center"/>
            </w:pPr>
            <w:r>
              <w:rPr>
                <w:rFonts w:ascii="Bookman Old Style" w:hAnsi="Bookman Old Style" w:cs="Bookman Old Style"/>
                <w:b/>
                <w:sz w:val="18"/>
              </w:rPr>
              <w:t>Frequency</w:t>
            </w:r>
          </w:p>
        </w:tc>
        <w:tc>
          <w:tcPr>
            <w:tcW w:w="1485" w:type="dxa"/>
            <w:tcBorders>
              <w:top w:val="single" w:sz="4" w:space="0" w:color="000000"/>
              <w:left w:val="nil"/>
              <w:bottom w:val="single" w:sz="4" w:space="0" w:color="000000"/>
              <w:right w:val="nil"/>
            </w:tcBorders>
          </w:tcPr>
          <w:p w14:paraId="4F67E3DE" w14:textId="77777777" w:rsidR="00A42280" w:rsidRDefault="00000000">
            <w:pPr>
              <w:spacing w:line="276" w:lineRule="auto"/>
              <w:jc w:val="center"/>
            </w:pPr>
            <w:r>
              <w:rPr>
                <w:rFonts w:ascii="Bookman Old Style" w:hAnsi="Bookman Old Style" w:cs="Bookman Old Style"/>
                <w:b/>
                <w:sz w:val="18"/>
              </w:rPr>
              <w:t>Percentage</w:t>
            </w:r>
          </w:p>
        </w:tc>
        <w:tc>
          <w:tcPr>
            <w:tcW w:w="1485" w:type="dxa"/>
            <w:tcBorders>
              <w:top w:val="single" w:sz="4" w:space="0" w:color="000000"/>
              <w:left w:val="nil"/>
              <w:bottom w:val="single" w:sz="4" w:space="0" w:color="000000"/>
              <w:right w:val="nil"/>
            </w:tcBorders>
          </w:tcPr>
          <w:p w14:paraId="5F9DA6B8" w14:textId="77777777" w:rsidR="00A42280" w:rsidRDefault="00000000">
            <w:pPr>
              <w:spacing w:line="276" w:lineRule="auto"/>
              <w:jc w:val="center"/>
            </w:pPr>
            <w:r>
              <w:rPr>
                <w:rFonts w:ascii="Bookman Old Style" w:hAnsi="Bookman Old Style" w:cs="Bookman Old Style"/>
                <w:b/>
                <w:sz w:val="18"/>
              </w:rPr>
              <w:t>Example Function</w:t>
            </w:r>
          </w:p>
        </w:tc>
      </w:tr>
      <w:tr w:rsidR="00A42280" w14:paraId="0694600D" w14:textId="77777777">
        <w:trPr>
          <w:jc w:val="center"/>
        </w:trPr>
        <w:tc>
          <w:tcPr>
            <w:tcW w:w="1485" w:type="dxa"/>
            <w:tcBorders>
              <w:top w:val="nil"/>
              <w:left w:val="nil"/>
              <w:bottom w:val="nil"/>
              <w:right w:val="nil"/>
            </w:tcBorders>
          </w:tcPr>
          <w:p w14:paraId="4C7257DF" w14:textId="77777777" w:rsidR="00A42280" w:rsidRDefault="00000000">
            <w:pPr>
              <w:spacing w:line="276" w:lineRule="auto"/>
            </w:pPr>
            <w:r>
              <w:rPr>
                <w:rFonts w:ascii="Bookman Old Style" w:hAnsi="Bookman Old Style" w:cs="Bookman Old Style"/>
                <w:sz w:val="18"/>
              </w:rPr>
              <w:t>1</w:t>
            </w:r>
          </w:p>
        </w:tc>
        <w:tc>
          <w:tcPr>
            <w:tcW w:w="1485" w:type="dxa"/>
            <w:tcBorders>
              <w:top w:val="nil"/>
              <w:left w:val="nil"/>
              <w:bottom w:val="nil"/>
              <w:right w:val="nil"/>
            </w:tcBorders>
          </w:tcPr>
          <w:p w14:paraId="59A1DDAD" w14:textId="77777777" w:rsidR="00A42280" w:rsidRDefault="00000000">
            <w:pPr>
              <w:spacing w:line="276" w:lineRule="auto"/>
            </w:pPr>
            <w:r>
              <w:rPr>
                <w:rFonts w:ascii="Bookman Old Style" w:hAnsi="Bookman Old Style" w:cs="Bookman Old Style"/>
                <w:sz w:val="18"/>
              </w:rPr>
              <w:t>Inter-sentential switching</w:t>
            </w:r>
          </w:p>
        </w:tc>
        <w:tc>
          <w:tcPr>
            <w:tcW w:w="1485" w:type="dxa"/>
            <w:tcBorders>
              <w:top w:val="nil"/>
              <w:left w:val="nil"/>
              <w:bottom w:val="nil"/>
              <w:right w:val="nil"/>
            </w:tcBorders>
          </w:tcPr>
          <w:p w14:paraId="31C2239E" w14:textId="77777777" w:rsidR="00A42280" w:rsidRDefault="00000000">
            <w:pPr>
              <w:spacing w:line="276" w:lineRule="auto"/>
            </w:pPr>
            <w:r>
              <w:rPr>
                <w:rFonts w:ascii="Bookman Old Style" w:hAnsi="Bookman Old Style" w:cs="Bookman Old Style"/>
                <w:sz w:val="18"/>
              </w:rPr>
              <w:t>238</w:t>
            </w:r>
          </w:p>
        </w:tc>
        <w:tc>
          <w:tcPr>
            <w:tcW w:w="1485" w:type="dxa"/>
            <w:tcBorders>
              <w:top w:val="nil"/>
              <w:left w:val="nil"/>
              <w:bottom w:val="nil"/>
              <w:right w:val="nil"/>
            </w:tcBorders>
          </w:tcPr>
          <w:p w14:paraId="7FDD4235" w14:textId="77777777" w:rsidR="00A42280" w:rsidRDefault="00000000">
            <w:pPr>
              <w:spacing w:line="276" w:lineRule="auto"/>
            </w:pPr>
            <w:r>
              <w:rPr>
                <w:rFonts w:ascii="Bookman Old Style" w:hAnsi="Bookman Old Style" w:cs="Bookman Old Style"/>
                <w:sz w:val="18"/>
              </w:rPr>
              <w:t>48.97%</w:t>
            </w:r>
          </w:p>
        </w:tc>
        <w:tc>
          <w:tcPr>
            <w:tcW w:w="1485" w:type="dxa"/>
            <w:tcBorders>
              <w:top w:val="nil"/>
              <w:left w:val="nil"/>
              <w:bottom w:val="nil"/>
              <w:right w:val="nil"/>
            </w:tcBorders>
          </w:tcPr>
          <w:p w14:paraId="6641D4FA" w14:textId="77777777" w:rsidR="00A42280" w:rsidRDefault="00000000">
            <w:pPr>
              <w:spacing w:line="276" w:lineRule="auto"/>
            </w:pPr>
            <w:r>
              <w:rPr>
                <w:rFonts w:ascii="Bookman Old Style" w:hAnsi="Bookman Old Style" w:cs="Bookman Old Style"/>
                <w:sz w:val="18"/>
              </w:rPr>
              <w:t>Explaining concepts and giving instructions</w:t>
            </w:r>
          </w:p>
        </w:tc>
      </w:tr>
      <w:tr w:rsidR="00A42280" w14:paraId="1137CB3C" w14:textId="77777777">
        <w:trPr>
          <w:jc w:val="center"/>
        </w:trPr>
        <w:tc>
          <w:tcPr>
            <w:tcW w:w="1485" w:type="dxa"/>
            <w:tcBorders>
              <w:top w:val="nil"/>
              <w:left w:val="nil"/>
              <w:bottom w:val="nil"/>
              <w:right w:val="nil"/>
            </w:tcBorders>
          </w:tcPr>
          <w:p w14:paraId="0535956A" w14:textId="77777777" w:rsidR="00A42280" w:rsidRDefault="00000000">
            <w:pPr>
              <w:spacing w:line="276" w:lineRule="auto"/>
            </w:pPr>
            <w:r>
              <w:rPr>
                <w:rFonts w:ascii="Bookman Old Style" w:hAnsi="Bookman Old Style" w:cs="Bookman Old Style"/>
                <w:sz w:val="18"/>
              </w:rPr>
              <w:t>2</w:t>
            </w:r>
          </w:p>
        </w:tc>
        <w:tc>
          <w:tcPr>
            <w:tcW w:w="1485" w:type="dxa"/>
            <w:tcBorders>
              <w:top w:val="nil"/>
              <w:left w:val="nil"/>
              <w:bottom w:val="nil"/>
              <w:right w:val="nil"/>
            </w:tcBorders>
          </w:tcPr>
          <w:p w14:paraId="73B1A9F1" w14:textId="77777777" w:rsidR="00A42280" w:rsidRDefault="00000000">
            <w:pPr>
              <w:spacing w:line="276" w:lineRule="auto"/>
            </w:pPr>
            <w:r>
              <w:rPr>
                <w:rFonts w:ascii="Bookman Old Style" w:hAnsi="Bookman Old Style" w:cs="Bookman Old Style"/>
                <w:sz w:val="18"/>
              </w:rPr>
              <w:t>Intra-sentential switching</w:t>
            </w:r>
          </w:p>
        </w:tc>
        <w:tc>
          <w:tcPr>
            <w:tcW w:w="1485" w:type="dxa"/>
            <w:tcBorders>
              <w:top w:val="nil"/>
              <w:left w:val="nil"/>
              <w:bottom w:val="nil"/>
              <w:right w:val="nil"/>
            </w:tcBorders>
          </w:tcPr>
          <w:p w14:paraId="01D189BA" w14:textId="77777777" w:rsidR="00A42280" w:rsidRDefault="00000000">
            <w:pPr>
              <w:spacing w:line="276" w:lineRule="auto"/>
            </w:pPr>
            <w:r>
              <w:rPr>
                <w:rFonts w:ascii="Bookman Old Style" w:hAnsi="Bookman Old Style" w:cs="Bookman Old Style"/>
                <w:sz w:val="18"/>
              </w:rPr>
              <w:t>167</w:t>
            </w:r>
          </w:p>
        </w:tc>
        <w:tc>
          <w:tcPr>
            <w:tcW w:w="1485" w:type="dxa"/>
            <w:tcBorders>
              <w:top w:val="nil"/>
              <w:left w:val="nil"/>
              <w:bottom w:val="nil"/>
              <w:right w:val="nil"/>
            </w:tcBorders>
          </w:tcPr>
          <w:p w14:paraId="5E9D4BC2" w14:textId="77777777" w:rsidR="00A42280" w:rsidRDefault="00000000">
            <w:pPr>
              <w:spacing w:line="276" w:lineRule="auto"/>
            </w:pPr>
            <w:r>
              <w:rPr>
                <w:rFonts w:ascii="Bookman Old Style" w:hAnsi="Bookman Old Style" w:cs="Bookman Old Style"/>
                <w:sz w:val="18"/>
              </w:rPr>
              <w:t>34.36%</w:t>
            </w:r>
          </w:p>
        </w:tc>
        <w:tc>
          <w:tcPr>
            <w:tcW w:w="1485" w:type="dxa"/>
            <w:tcBorders>
              <w:top w:val="nil"/>
              <w:left w:val="nil"/>
              <w:bottom w:val="nil"/>
              <w:right w:val="nil"/>
            </w:tcBorders>
          </w:tcPr>
          <w:p w14:paraId="53702B3E" w14:textId="77777777" w:rsidR="00A42280" w:rsidRDefault="00000000">
            <w:pPr>
              <w:spacing w:line="276" w:lineRule="auto"/>
            </w:pPr>
            <w:r>
              <w:rPr>
                <w:rFonts w:ascii="Bookman Old Style" w:hAnsi="Bookman Old Style" w:cs="Bookman Old Style"/>
                <w:sz w:val="18"/>
              </w:rPr>
              <w:t>Explaining vocabulary and combining technical terms</w:t>
            </w:r>
          </w:p>
        </w:tc>
      </w:tr>
      <w:tr w:rsidR="00A42280" w14:paraId="3FD47C8C" w14:textId="77777777">
        <w:trPr>
          <w:jc w:val="center"/>
        </w:trPr>
        <w:tc>
          <w:tcPr>
            <w:tcW w:w="1485" w:type="dxa"/>
            <w:tcBorders>
              <w:top w:val="nil"/>
              <w:left w:val="nil"/>
              <w:bottom w:val="nil"/>
              <w:right w:val="nil"/>
            </w:tcBorders>
          </w:tcPr>
          <w:p w14:paraId="247C6AE1" w14:textId="77777777" w:rsidR="00A42280" w:rsidRDefault="00000000">
            <w:pPr>
              <w:spacing w:line="276" w:lineRule="auto"/>
            </w:pPr>
            <w:r>
              <w:rPr>
                <w:rFonts w:ascii="Bookman Old Style" w:hAnsi="Bookman Old Style" w:cs="Bookman Old Style"/>
                <w:sz w:val="18"/>
              </w:rPr>
              <w:t>3</w:t>
            </w:r>
          </w:p>
        </w:tc>
        <w:tc>
          <w:tcPr>
            <w:tcW w:w="1485" w:type="dxa"/>
            <w:tcBorders>
              <w:top w:val="nil"/>
              <w:left w:val="nil"/>
              <w:bottom w:val="nil"/>
              <w:right w:val="nil"/>
            </w:tcBorders>
          </w:tcPr>
          <w:p w14:paraId="541D0869" w14:textId="77777777" w:rsidR="00A42280" w:rsidRDefault="00000000">
            <w:pPr>
              <w:spacing w:line="276" w:lineRule="auto"/>
            </w:pPr>
            <w:r>
              <w:rPr>
                <w:rFonts w:ascii="Bookman Old Style" w:hAnsi="Bookman Old Style" w:cs="Bookman Old Style"/>
                <w:sz w:val="18"/>
              </w:rPr>
              <w:t>Tag switching</w:t>
            </w:r>
          </w:p>
        </w:tc>
        <w:tc>
          <w:tcPr>
            <w:tcW w:w="1485" w:type="dxa"/>
            <w:tcBorders>
              <w:top w:val="nil"/>
              <w:left w:val="nil"/>
              <w:bottom w:val="nil"/>
              <w:right w:val="nil"/>
            </w:tcBorders>
          </w:tcPr>
          <w:p w14:paraId="78D899B4" w14:textId="77777777" w:rsidR="00A42280" w:rsidRDefault="00000000">
            <w:pPr>
              <w:spacing w:line="276" w:lineRule="auto"/>
            </w:pPr>
            <w:r>
              <w:rPr>
                <w:rFonts w:ascii="Bookman Old Style" w:hAnsi="Bookman Old Style" w:cs="Bookman Old Style"/>
                <w:sz w:val="18"/>
              </w:rPr>
              <w:t>81</w:t>
            </w:r>
          </w:p>
        </w:tc>
        <w:tc>
          <w:tcPr>
            <w:tcW w:w="1485" w:type="dxa"/>
            <w:tcBorders>
              <w:top w:val="nil"/>
              <w:left w:val="nil"/>
              <w:bottom w:val="nil"/>
              <w:right w:val="nil"/>
            </w:tcBorders>
          </w:tcPr>
          <w:p w14:paraId="288D8E5F" w14:textId="77777777" w:rsidR="00A42280" w:rsidRDefault="00000000">
            <w:pPr>
              <w:spacing w:line="276" w:lineRule="auto"/>
            </w:pPr>
            <w:r>
              <w:rPr>
                <w:rFonts w:ascii="Bookman Old Style" w:hAnsi="Bookman Old Style" w:cs="Bookman Old Style"/>
                <w:sz w:val="18"/>
              </w:rPr>
              <w:t>16.67%</w:t>
            </w:r>
          </w:p>
        </w:tc>
        <w:tc>
          <w:tcPr>
            <w:tcW w:w="1485" w:type="dxa"/>
            <w:tcBorders>
              <w:top w:val="nil"/>
              <w:left w:val="nil"/>
              <w:bottom w:val="nil"/>
              <w:right w:val="nil"/>
            </w:tcBorders>
          </w:tcPr>
          <w:p w14:paraId="599B8F47" w14:textId="77777777" w:rsidR="00A42280" w:rsidRDefault="00000000">
            <w:pPr>
              <w:spacing w:line="276" w:lineRule="auto"/>
            </w:pPr>
            <w:r>
              <w:rPr>
                <w:rFonts w:ascii="Bookman Old Style" w:hAnsi="Bookman Old Style" w:cs="Bookman Old Style"/>
                <w:sz w:val="18"/>
              </w:rPr>
              <w:t>Checking attention and building interaction</w:t>
            </w:r>
          </w:p>
        </w:tc>
      </w:tr>
      <w:tr w:rsidR="00A42280" w14:paraId="7F696A83" w14:textId="77777777">
        <w:trPr>
          <w:jc w:val="center"/>
        </w:trPr>
        <w:tc>
          <w:tcPr>
            <w:tcW w:w="1485" w:type="dxa"/>
            <w:tcBorders>
              <w:top w:val="nil"/>
              <w:left w:val="nil"/>
              <w:bottom w:val="single" w:sz="4" w:space="0" w:color="000000"/>
              <w:right w:val="nil"/>
            </w:tcBorders>
          </w:tcPr>
          <w:p w14:paraId="55BAD3F6" w14:textId="77777777" w:rsidR="00A42280" w:rsidRDefault="00000000">
            <w:pPr>
              <w:spacing w:line="276" w:lineRule="auto"/>
            </w:pPr>
            <w:r>
              <w:rPr>
                <w:rFonts w:ascii="Bookman Old Style" w:hAnsi="Bookman Old Style" w:cs="Bookman Old Style"/>
                <w:sz w:val="18"/>
              </w:rPr>
              <w:t>Total</w:t>
            </w:r>
          </w:p>
        </w:tc>
        <w:tc>
          <w:tcPr>
            <w:tcW w:w="1485" w:type="dxa"/>
            <w:tcBorders>
              <w:top w:val="nil"/>
              <w:left w:val="nil"/>
              <w:bottom w:val="single" w:sz="4" w:space="0" w:color="000000"/>
              <w:right w:val="nil"/>
            </w:tcBorders>
          </w:tcPr>
          <w:p w14:paraId="7B625AAE" w14:textId="77777777" w:rsidR="00A42280" w:rsidRDefault="00A42280">
            <w:pPr>
              <w:spacing w:line="276" w:lineRule="auto"/>
            </w:pPr>
          </w:p>
        </w:tc>
        <w:tc>
          <w:tcPr>
            <w:tcW w:w="1485" w:type="dxa"/>
            <w:tcBorders>
              <w:top w:val="nil"/>
              <w:left w:val="nil"/>
              <w:bottom w:val="single" w:sz="4" w:space="0" w:color="000000"/>
              <w:right w:val="nil"/>
            </w:tcBorders>
          </w:tcPr>
          <w:p w14:paraId="073DCF02" w14:textId="77777777" w:rsidR="00A42280" w:rsidRDefault="00000000">
            <w:pPr>
              <w:spacing w:line="276" w:lineRule="auto"/>
            </w:pPr>
            <w:r>
              <w:rPr>
                <w:rFonts w:ascii="Bookman Old Style" w:hAnsi="Bookman Old Style" w:cs="Bookman Old Style"/>
                <w:sz w:val="18"/>
              </w:rPr>
              <w:t>486</w:t>
            </w:r>
          </w:p>
        </w:tc>
        <w:tc>
          <w:tcPr>
            <w:tcW w:w="1485" w:type="dxa"/>
            <w:tcBorders>
              <w:top w:val="nil"/>
              <w:left w:val="nil"/>
              <w:bottom w:val="single" w:sz="4" w:space="0" w:color="000000"/>
              <w:right w:val="nil"/>
            </w:tcBorders>
          </w:tcPr>
          <w:p w14:paraId="693B34B3" w14:textId="77777777" w:rsidR="00A42280" w:rsidRDefault="00000000">
            <w:pPr>
              <w:spacing w:line="276" w:lineRule="auto"/>
            </w:pPr>
            <w:r>
              <w:rPr>
                <w:rFonts w:ascii="Bookman Old Style" w:hAnsi="Bookman Old Style" w:cs="Bookman Old Style"/>
                <w:sz w:val="18"/>
              </w:rPr>
              <w:t>100%</w:t>
            </w:r>
          </w:p>
        </w:tc>
        <w:tc>
          <w:tcPr>
            <w:tcW w:w="1485" w:type="dxa"/>
            <w:tcBorders>
              <w:top w:val="nil"/>
              <w:left w:val="nil"/>
              <w:bottom w:val="single" w:sz="4" w:space="0" w:color="000000"/>
              <w:right w:val="nil"/>
            </w:tcBorders>
          </w:tcPr>
          <w:p w14:paraId="1F61A0FA" w14:textId="77777777" w:rsidR="00A42280" w:rsidRDefault="00A42280">
            <w:pPr>
              <w:spacing w:line="276" w:lineRule="auto"/>
            </w:pPr>
          </w:p>
        </w:tc>
      </w:tr>
    </w:tbl>
    <w:p w14:paraId="4053DB88" w14:textId="00F5694D" w:rsidR="00A42280" w:rsidRDefault="00000000">
      <w:pPr>
        <w:spacing w:line="276" w:lineRule="auto"/>
      </w:pPr>
      <w:r>
        <w:rPr>
          <w:rFonts w:ascii="Bookman Old Style" w:hAnsi="Bookman Old Style" w:cs="Bookman Old Style"/>
          <w:i/>
          <w:sz w:val="20"/>
        </w:rPr>
        <w:t>Source: Processed from classroom transcript data.</w:t>
      </w:r>
      <w:r w:rsidR="002439A4">
        <w:rPr>
          <w:rFonts w:ascii="Bookman Old Style" w:hAnsi="Bookman Old Style" w:cs="Bookman Old Style"/>
          <w:i/>
          <w:sz w:val="20"/>
        </w:rPr>
        <w:br/>
      </w:r>
    </w:p>
    <w:p w14:paraId="6C19C646" w14:textId="77777777" w:rsidR="00A42280" w:rsidRDefault="00000000">
      <w:pPr>
        <w:spacing w:line="276" w:lineRule="auto"/>
        <w:ind w:firstLine="720"/>
        <w:jc w:val="both"/>
      </w:pPr>
      <w:r>
        <w:rPr>
          <w:rFonts w:ascii="Bookman Old Style" w:hAnsi="Bookman Old Style" w:cs="Bookman Old Style"/>
          <w:sz w:val="22"/>
        </w:rPr>
        <w:t>Inter-sentential switching was most frequent: teachers explained a concept in English then restated it in Indonesian to ensure comprehension, common during explanation and comprehension checking.</w:t>
      </w:r>
    </w:p>
    <w:p w14:paraId="33D84B6A" w14:textId="77777777" w:rsidR="00A42280" w:rsidRDefault="00000000">
      <w:pPr>
        <w:spacing w:line="276" w:lineRule="auto"/>
        <w:ind w:firstLine="720"/>
        <w:jc w:val="both"/>
      </w:pPr>
      <w:r>
        <w:rPr>
          <w:rFonts w:ascii="Bookman Old Style" w:hAnsi="Bookman Old Style" w:cs="Bookman Old Style"/>
          <w:sz w:val="22"/>
        </w:rPr>
        <w:lastRenderedPageBreak/>
        <w:t>Intra-sentential switching appeared when speakers inserted English terms into Indonesian sentences or vice versa—e.g., "kalau main character-nya sudah muncul" or "we must cari evidence from the text"—combining resources to complete tasks.</w:t>
      </w:r>
    </w:p>
    <w:p w14:paraId="0BD1EF36" w14:textId="77777777" w:rsidR="00A42280" w:rsidRDefault="00000000">
      <w:pPr>
        <w:spacing w:line="276" w:lineRule="auto"/>
        <w:ind w:firstLine="720"/>
        <w:jc w:val="both"/>
      </w:pPr>
      <w:r>
        <w:rPr>
          <w:rFonts w:ascii="Bookman Old Style" w:hAnsi="Bookman Old Style" w:cs="Bookman Old Style"/>
          <w:sz w:val="22"/>
        </w:rPr>
        <w:t>Tag switching used short expressions ("okay," "ya," "right," "kan," "so") to manage attention and rhythm; though less frequent, it played an important role sustaining interaction.</w:t>
      </w:r>
    </w:p>
    <w:p w14:paraId="0FD2ABF5" w14:textId="77777777" w:rsidR="00A42280" w:rsidRDefault="00000000">
      <w:pPr>
        <w:keepNext/>
        <w:spacing w:before="200" w:line="276" w:lineRule="auto"/>
      </w:pPr>
      <w:r>
        <w:rPr>
          <w:rFonts w:ascii="Bookman Old Style" w:hAnsi="Bookman Old Style" w:cs="Bookman Old Style"/>
          <w:b/>
          <w:sz w:val="22"/>
        </w:rPr>
        <w:t>Pedagogical Functions of Code-Switching</w:t>
      </w:r>
    </w:p>
    <w:p w14:paraId="201B9878" w14:textId="77777777" w:rsidR="00A42280" w:rsidRDefault="00000000">
      <w:pPr>
        <w:spacing w:line="276" w:lineRule="auto"/>
        <w:ind w:firstLine="720"/>
        <w:jc w:val="both"/>
      </w:pPr>
      <w:r>
        <w:rPr>
          <w:rFonts w:ascii="Bookman Old Style" w:hAnsi="Bookman Old Style" w:cs="Bookman Old Style"/>
          <w:sz w:val="22"/>
        </w:rPr>
        <w:t>Code-switching served several pedagogical functions: clarifying content, explaining vocabulary and grammar, checking comprehension, giving instructions, and managing behavior.</w:t>
      </w:r>
    </w:p>
    <w:p w14:paraId="5DB4EB7D" w14:textId="77777777" w:rsidR="00A42280" w:rsidRDefault="00000000">
      <w:pPr>
        <w:keepNext/>
        <w:spacing w:before="100" w:line="276" w:lineRule="auto"/>
      </w:pPr>
      <w:r>
        <w:rPr>
          <w:rFonts w:ascii="Bookman Old Style" w:hAnsi="Bookman Old Style" w:cs="Bookman Old Style"/>
          <w:sz w:val="22"/>
        </w:rPr>
        <w:t>Table 2. Pedagogical Functions of Code-Switching</w:t>
      </w:r>
    </w:p>
    <w:tbl>
      <w:tblPr>
        <w:tblW w:w="0" w:type="auto"/>
        <w:jc w:val="center"/>
        <w:tblCellMar>
          <w:top w:w="20" w:type="dxa"/>
          <w:left w:w="80" w:type="dxa"/>
          <w:bottom w:w="20" w:type="dxa"/>
          <w:right w:w="80" w:type="dxa"/>
        </w:tblCellMar>
        <w:tblLook w:val="04A0" w:firstRow="1" w:lastRow="0" w:firstColumn="1" w:lastColumn="0" w:noHBand="0" w:noVBand="1"/>
      </w:tblPr>
      <w:tblGrid>
        <w:gridCol w:w="1087"/>
        <w:gridCol w:w="1548"/>
        <w:gridCol w:w="1449"/>
        <w:gridCol w:w="1455"/>
        <w:gridCol w:w="1717"/>
      </w:tblGrid>
      <w:tr w:rsidR="00A42280" w14:paraId="2F970056" w14:textId="77777777" w:rsidTr="002439A4">
        <w:trPr>
          <w:jc w:val="center"/>
        </w:trPr>
        <w:tc>
          <w:tcPr>
            <w:tcW w:w="1120" w:type="dxa"/>
            <w:tcBorders>
              <w:top w:val="single" w:sz="4" w:space="0" w:color="000000"/>
              <w:left w:val="nil"/>
              <w:bottom w:val="single" w:sz="4" w:space="0" w:color="000000"/>
              <w:right w:val="nil"/>
            </w:tcBorders>
          </w:tcPr>
          <w:p w14:paraId="00BB0796" w14:textId="77777777" w:rsidR="00A42280" w:rsidRDefault="00000000" w:rsidP="002439A4">
            <w:pPr>
              <w:spacing w:line="276" w:lineRule="auto"/>
              <w:ind w:right="140"/>
              <w:jc w:val="center"/>
            </w:pPr>
            <w:r>
              <w:rPr>
                <w:rFonts w:ascii="Bookman Old Style" w:hAnsi="Bookman Old Style" w:cs="Bookman Old Style"/>
                <w:b/>
                <w:sz w:val="18"/>
              </w:rPr>
              <w:t>No.</w:t>
            </w:r>
          </w:p>
        </w:tc>
        <w:tc>
          <w:tcPr>
            <w:tcW w:w="1548" w:type="dxa"/>
            <w:tcBorders>
              <w:top w:val="single" w:sz="4" w:space="0" w:color="000000"/>
              <w:left w:val="nil"/>
              <w:bottom w:val="single" w:sz="4" w:space="0" w:color="000000"/>
              <w:right w:val="nil"/>
            </w:tcBorders>
          </w:tcPr>
          <w:p w14:paraId="221EAB8F" w14:textId="77777777" w:rsidR="00A42280" w:rsidRDefault="00000000">
            <w:pPr>
              <w:spacing w:line="276" w:lineRule="auto"/>
              <w:jc w:val="center"/>
            </w:pPr>
            <w:r>
              <w:rPr>
                <w:rFonts w:ascii="Bookman Old Style" w:hAnsi="Bookman Old Style" w:cs="Bookman Old Style"/>
                <w:b/>
                <w:sz w:val="18"/>
              </w:rPr>
              <w:t>Function</w:t>
            </w:r>
          </w:p>
        </w:tc>
        <w:tc>
          <w:tcPr>
            <w:tcW w:w="1469" w:type="dxa"/>
            <w:tcBorders>
              <w:top w:val="single" w:sz="4" w:space="0" w:color="000000"/>
              <w:left w:val="nil"/>
              <w:bottom w:val="single" w:sz="4" w:space="0" w:color="000000"/>
              <w:right w:val="nil"/>
            </w:tcBorders>
          </w:tcPr>
          <w:p w14:paraId="0DA84AEB" w14:textId="77777777" w:rsidR="00A42280" w:rsidRDefault="00000000">
            <w:pPr>
              <w:spacing w:line="276" w:lineRule="auto"/>
              <w:jc w:val="center"/>
            </w:pPr>
            <w:r>
              <w:rPr>
                <w:rFonts w:ascii="Bookman Old Style" w:hAnsi="Bookman Old Style" w:cs="Bookman Old Style"/>
                <w:b/>
                <w:sz w:val="18"/>
              </w:rPr>
              <w:t>Frequency</w:t>
            </w:r>
          </w:p>
        </w:tc>
        <w:tc>
          <w:tcPr>
            <w:tcW w:w="1472" w:type="dxa"/>
            <w:tcBorders>
              <w:top w:val="single" w:sz="4" w:space="0" w:color="000000"/>
              <w:left w:val="nil"/>
              <w:bottom w:val="single" w:sz="4" w:space="0" w:color="000000"/>
              <w:right w:val="nil"/>
            </w:tcBorders>
          </w:tcPr>
          <w:p w14:paraId="0C4EE0AB" w14:textId="77777777" w:rsidR="00A42280" w:rsidRDefault="00000000">
            <w:pPr>
              <w:spacing w:line="276" w:lineRule="auto"/>
              <w:jc w:val="center"/>
            </w:pPr>
            <w:r>
              <w:rPr>
                <w:rFonts w:ascii="Bookman Old Style" w:hAnsi="Bookman Old Style" w:cs="Bookman Old Style"/>
                <w:b/>
                <w:sz w:val="18"/>
              </w:rPr>
              <w:t>Percentage</w:t>
            </w:r>
          </w:p>
        </w:tc>
        <w:tc>
          <w:tcPr>
            <w:tcW w:w="1735" w:type="dxa"/>
            <w:tcBorders>
              <w:top w:val="single" w:sz="4" w:space="0" w:color="000000"/>
              <w:left w:val="nil"/>
              <w:bottom w:val="single" w:sz="4" w:space="0" w:color="000000"/>
              <w:right w:val="nil"/>
            </w:tcBorders>
          </w:tcPr>
          <w:p w14:paraId="490DC04C" w14:textId="77777777" w:rsidR="00A42280" w:rsidRDefault="00000000">
            <w:pPr>
              <w:spacing w:line="276" w:lineRule="auto"/>
              <w:jc w:val="center"/>
            </w:pPr>
            <w:r>
              <w:rPr>
                <w:rFonts w:ascii="Bookman Old Style" w:hAnsi="Bookman Old Style" w:cs="Bookman Old Style"/>
                <w:b/>
                <w:sz w:val="18"/>
              </w:rPr>
              <w:t>Classroom Meaning</w:t>
            </w:r>
          </w:p>
        </w:tc>
      </w:tr>
      <w:tr w:rsidR="00A42280" w14:paraId="77103FDF" w14:textId="77777777" w:rsidTr="002439A4">
        <w:trPr>
          <w:jc w:val="center"/>
        </w:trPr>
        <w:tc>
          <w:tcPr>
            <w:tcW w:w="1120" w:type="dxa"/>
            <w:tcBorders>
              <w:top w:val="nil"/>
              <w:left w:val="nil"/>
              <w:bottom w:val="nil"/>
              <w:right w:val="nil"/>
            </w:tcBorders>
          </w:tcPr>
          <w:p w14:paraId="4EF4A182" w14:textId="77777777" w:rsidR="00A42280" w:rsidRDefault="00000000">
            <w:pPr>
              <w:spacing w:line="276" w:lineRule="auto"/>
            </w:pPr>
            <w:r>
              <w:rPr>
                <w:rFonts w:ascii="Bookman Old Style" w:hAnsi="Bookman Old Style" w:cs="Bookman Old Style"/>
                <w:sz w:val="18"/>
              </w:rPr>
              <w:t>1</w:t>
            </w:r>
          </w:p>
        </w:tc>
        <w:tc>
          <w:tcPr>
            <w:tcW w:w="1548" w:type="dxa"/>
            <w:tcBorders>
              <w:top w:val="nil"/>
              <w:left w:val="nil"/>
              <w:bottom w:val="nil"/>
              <w:right w:val="nil"/>
            </w:tcBorders>
          </w:tcPr>
          <w:p w14:paraId="19E4CFE5" w14:textId="77777777" w:rsidR="00A42280" w:rsidRDefault="00000000">
            <w:pPr>
              <w:spacing w:line="276" w:lineRule="auto"/>
            </w:pPr>
            <w:r>
              <w:rPr>
                <w:rFonts w:ascii="Bookman Old Style" w:hAnsi="Bookman Old Style" w:cs="Bookman Old Style"/>
                <w:sz w:val="18"/>
              </w:rPr>
              <w:t>Content clarification</w:t>
            </w:r>
          </w:p>
        </w:tc>
        <w:tc>
          <w:tcPr>
            <w:tcW w:w="1469" w:type="dxa"/>
            <w:tcBorders>
              <w:top w:val="nil"/>
              <w:left w:val="nil"/>
              <w:bottom w:val="nil"/>
              <w:right w:val="nil"/>
            </w:tcBorders>
          </w:tcPr>
          <w:p w14:paraId="7A084B98" w14:textId="77777777" w:rsidR="00A42280" w:rsidRDefault="00000000">
            <w:pPr>
              <w:spacing w:line="276" w:lineRule="auto"/>
            </w:pPr>
            <w:r>
              <w:rPr>
                <w:rFonts w:ascii="Bookman Old Style" w:hAnsi="Bookman Old Style" w:cs="Bookman Old Style"/>
                <w:sz w:val="18"/>
              </w:rPr>
              <w:t>112</w:t>
            </w:r>
          </w:p>
        </w:tc>
        <w:tc>
          <w:tcPr>
            <w:tcW w:w="1472" w:type="dxa"/>
            <w:tcBorders>
              <w:top w:val="nil"/>
              <w:left w:val="nil"/>
              <w:bottom w:val="nil"/>
              <w:right w:val="nil"/>
            </w:tcBorders>
          </w:tcPr>
          <w:p w14:paraId="2B490A65" w14:textId="77777777" w:rsidR="00A42280" w:rsidRDefault="00000000">
            <w:pPr>
              <w:spacing w:line="276" w:lineRule="auto"/>
            </w:pPr>
            <w:r>
              <w:rPr>
                <w:rFonts w:ascii="Bookman Old Style" w:hAnsi="Bookman Old Style" w:cs="Bookman Old Style"/>
                <w:sz w:val="18"/>
              </w:rPr>
              <w:t>23.05%</w:t>
            </w:r>
          </w:p>
        </w:tc>
        <w:tc>
          <w:tcPr>
            <w:tcW w:w="1735" w:type="dxa"/>
            <w:tcBorders>
              <w:top w:val="nil"/>
              <w:left w:val="nil"/>
              <w:bottom w:val="nil"/>
              <w:right w:val="nil"/>
            </w:tcBorders>
          </w:tcPr>
          <w:p w14:paraId="2C20880E" w14:textId="77777777" w:rsidR="00A42280" w:rsidRDefault="00000000">
            <w:pPr>
              <w:spacing w:line="276" w:lineRule="auto"/>
            </w:pPr>
            <w:r>
              <w:rPr>
                <w:rFonts w:ascii="Bookman Old Style" w:hAnsi="Bookman Old Style" w:cs="Bookman Old Style"/>
                <w:sz w:val="18"/>
              </w:rPr>
              <w:t>Helping students understand lesson concepts</w:t>
            </w:r>
          </w:p>
        </w:tc>
      </w:tr>
      <w:tr w:rsidR="00A42280" w14:paraId="25CB5901" w14:textId="77777777" w:rsidTr="002439A4">
        <w:trPr>
          <w:jc w:val="center"/>
        </w:trPr>
        <w:tc>
          <w:tcPr>
            <w:tcW w:w="1120" w:type="dxa"/>
            <w:tcBorders>
              <w:top w:val="nil"/>
              <w:left w:val="nil"/>
              <w:bottom w:val="nil"/>
              <w:right w:val="nil"/>
            </w:tcBorders>
          </w:tcPr>
          <w:p w14:paraId="456F5675" w14:textId="77777777" w:rsidR="00A42280" w:rsidRDefault="00000000">
            <w:pPr>
              <w:spacing w:line="276" w:lineRule="auto"/>
            </w:pPr>
            <w:r>
              <w:rPr>
                <w:rFonts w:ascii="Bookman Old Style" w:hAnsi="Bookman Old Style" w:cs="Bookman Old Style"/>
                <w:sz w:val="18"/>
              </w:rPr>
              <w:t>2</w:t>
            </w:r>
          </w:p>
        </w:tc>
        <w:tc>
          <w:tcPr>
            <w:tcW w:w="1548" w:type="dxa"/>
            <w:tcBorders>
              <w:top w:val="nil"/>
              <w:left w:val="nil"/>
              <w:bottom w:val="nil"/>
              <w:right w:val="nil"/>
            </w:tcBorders>
          </w:tcPr>
          <w:p w14:paraId="5B549780" w14:textId="77777777" w:rsidR="00A42280" w:rsidRDefault="00000000">
            <w:pPr>
              <w:spacing w:line="276" w:lineRule="auto"/>
            </w:pPr>
            <w:r>
              <w:rPr>
                <w:rFonts w:ascii="Bookman Old Style" w:hAnsi="Bookman Old Style" w:cs="Bookman Old Style"/>
                <w:sz w:val="18"/>
              </w:rPr>
              <w:t>Vocabulary explanation</w:t>
            </w:r>
          </w:p>
        </w:tc>
        <w:tc>
          <w:tcPr>
            <w:tcW w:w="1469" w:type="dxa"/>
            <w:tcBorders>
              <w:top w:val="nil"/>
              <w:left w:val="nil"/>
              <w:bottom w:val="nil"/>
              <w:right w:val="nil"/>
            </w:tcBorders>
          </w:tcPr>
          <w:p w14:paraId="5744F0E6" w14:textId="77777777" w:rsidR="00A42280" w:rsidRDefault="00000000">
            <w:pPr>
              <w:spacing w:line="276" w:lineRule="auto"/>
            </w:pPr>
            <w:r>
              <w:rPr>
                <w:rFonts w:ascii="Bookman Old Style" w:hAnsi="Bookman Old Style" w:cs="Bookman Old Style"/>
                <w:sz w:val="18"/>
              </w:rPr>
              <w:t>86</w:t>
            </w:r>
          </w:p>
        </w:tc>
        <w:tc>
          <w:tcPr>
            <w:tcW w:w="1472" w:type="dxa"/>
            <w:tcBorders>
              <w:top w:val="nil"/>
              <w:left w:val="nil"/>
              <w:bottom w:val="nil"/>
              <w:right w:val="nil"/>
            </w:tcBorders>
          </w:tcPr>
          <w:p w14:paraId="0ADA9ADF" w14:textId="77777777" w:rsidR="00A42280" w:rsidRDefault="00000000">
            <w:pPr>
              <w:spacing w:line="276" w:lineRule="auto"/>
            </w:pPr>
            <w:r>
              <w:rPr>
                <w:rFonts w:ascii="Bookman Old Style" w:hAnsi="Bookman Old Style" w:cs="Bookman Old Style"/>
                <w:sz w:val="18"/>
              </w:rPr>
              <w:t>17.70%</w:t>
            </w:r>
          </w:p>
        </w:tc>
        <w:tc>
          <w:tcPr>
            <w:tcW w:w="1735" w:type="dxa"/>
            <w:tcBorders>
              <w:top w:val="nil"/>
              <w:left w:val="nil"/>
              <w:bottom w:val="nil"/>
              <w:right w:val="nil"/>
            </w:tcBorders>
          </w:tcPr>
          <w:p w14:paraId="7F742564" w14:textId="77777777" w:rsidR="00A42280" w:rsidRDefault="00000000">
            <w:pPr>
              <w:spacing w:line="276" w:lineRule="auto"/>
            </w:pPr>
            <w:r>
              <w:rPr>
                <w:rFonts w:ascii="Bookman Old Style" w:hAnsi="Bookman Old Style" w:cs="Bookman Old Style"/>
                <w:sz w:val="18"/>
              </w:rPr>
              <w:t>Explaining word meanings and contextual use</w:t>
            </w:r>
          </w:p>
        </w:tc>
      </w:tr>
      <w:tr w:rsidR="00A42280" w14:paraId="7987D32F" w14:textId="77777777" w:rsidTr="002439A4">
        <w:trPr>
          <w:jc w:val="center"/>
        </w:trPr>
        <w:tc>
          <w:tcPr>
            <w:tcW w:w="1120" w:type="dxa"/>
            <w:tcBorders>
              <w:top w:val="nil"/>
              <w:left w:val="nil"/>
              <w:bottom w:val="nil"/>
              <w:right w:val="nil"/>
            </w:tcBorders>
          </w:tcPr>
          <w:p w14:paraId="05222F98" w14:textId="77777777" w:rsidR="00A42280" w:rsidRDefault="00000000">
            <w:pPr>
              <w:spacing w:line="276" w:lineRule="auto"/>
            </w:pPr>
            <w:r>
              <w:rPr>
                <w:rFonts w:ascii="Bookman Old Style" w:hAnsi="Bookman Old Style" w:cs="Bookman Old Style"/>
                <w:sz w:val="18"/>
              </w:rPr>
              <w:t>3</w:t>
            </w:r>
          </w:p>
        </w:tc>
        <w:tc>
          <w:tcPr>
            <w:tcW w:w="1548" w:type="dxa"/>
            <w:tcBorders>
              <w:top w:val="nil"/>
              <w:left w:val="nil"/>
              <w:bottom w:val="nil"/>
              <w:right w:val="nil"/>
            </w:tcBorders>
          </w:tcPr>
          <w:p w14:paraId="0B887E7D" w14:textId="77777777" w:rsidR="00A42280" w:rsidRDefault="00000000">
            <w:pPr>
              <w:spacing w:line="276" w:lineRule="auto"/>
            </w:pPr>
            <w:r>
              <w:rPr>
                <w:rFonts w:ascii="Bookman Old Style" w:hAnsi="Bookman Old Style" w:cs="Bookman Old Style"/>
                <w:sz w:val="18"/>
              </w:rPr>
              <w:t>Classroom management</w:t>
            </w:r>
          </w:p>
        </w:tc>
        <w:tc>
          <w:tcPr>
            <w:tcW w:w="1469" w:type="dxa"/>
            <w:tcBorders>
              <w:top w:val="nil"/>
              <w:left w:val="nil"/>
              <w:bottom w:val="nil"/>
              <w:right w:val="nil"/>
            </w:tcBorders>
          </w:tcPr>
          <w:p w14:paraId="0E693198" w14:textId="77777777" w:rsidR="00A42280" w:rsidRDefault="00000000">
            <w:pPr>
              <w:spacing w:line="276" w:lineRule="auto"/>
            </w:pPr>
            <w:r>
              <w:rPr>
                <w:rFonts w:ascii="Bookman Old Style" w:hAnsi="Bookman Old Style" w:cs="Bookman Old Style"/>
                <w:sz w:val="18"/>
              </w:rPr>
              <w:t>74</w:t>
            </w:r>
          </w:p>
        </w:tc>
        <w:tc>
          <w:tcPr>
            <w:tcW w:w="1472" w:type="dxa"/>
            <w:tcBorders>
              <w:top w:val="nil"/>
              <w:left w:val="nil"/>
              <w:bottom w:val="nil"/>
              <w:right w:val="nil"/>
            </w:tcBorders>
          </w:tcPr>
          <w:p w14:paraId="74A03FD3" w14:textId="77777777" w:rsidR="00A42280" w:rsidRDefault="00000000">
            <w:pPr>
              <w:spacing w:line="276" w:lineRule="auto"/>
            </w:pPr>
            <w:r>
              <w:rPr>
                <w:rFonts w:ascii="Bookman Old Style" w:hAnsi="Bookman Old Style" w:cs="Bookman Old Style"/>
                <w:sz w:val="18"/>
              </w:rPr>
              <w:t>15.23%</w:t>
            </w:r>
          </w:p>
        </w:tc>
        <w:tc>
          <w:tcPr>
            <w:tcW w:w="1735" w:type="dxa"/>
            <w:tcBorders>
              <w:top w:val="nil"/>
              <w:left w:val="nil"/>
              <w:bottom w:val="nil"/>
              <w:right w:val="nil"/>
            </w:tcBorders>
          </w:tcPr>
          <w:p w14:paraId="42BD76EA" w14:textId="77777777" w:rsidR="00A42280" w:rsidRDefault="00000000">
            <w:pPr>
              <w:spacing w:line="276" w:lineRule="auto"/>
            </w:pPr>
            <w:r>
              <w:rPr>
                <w:rFonts w:ascii="Bookman Old Style" w:hAnsi="Bookman Old Style" w:cs="Bookman Old Style"/>
                <w:sz w:val="18"/>
              </w:rPr>
              <w:t>Giving instructions and managing behavior</w:t>
            </w:r>
          </w:p>
        </w:tc>
      </w:tr>
      <w:tr w:rsidR="00A42280" w14:paraId="7B328AC0" w14:textId="77777777" w:rsidTr="002439A4">
        <w:trPr>
          <w:jc w:val="center"/>
        </w:trPr>
        <w:tc>
          <w:tcPr>
            <w:tcW w:w="1120" w:type="dxa"/>
            <w:tcBorders>
              <w:top w:val="nil"/>
              <w:left w:val="nil"/>
              <w:bottom w:val="nil"/>
              <w:right w:val="nil"/>
            </w:tcBorders>
          </w:tcPr>
          <w:p w14:paraId="6ABDACA8" w14:textId="77777777" w:rsidR="00A42280" w:rsidRDefault="00000000">
            <w:pPr>
              <w:spacing w:line="276" w:lineRule="auto"/>
            </w:pPr>
            <w:r>
              <w:rPr>
                <w:rFonts w:ascii="Bookman Old Style" w:hAnsi="Bookman Old Style" w:cs="Bookman Old Style"/>
                <w:sz w:val="18"/>
              </w:rPr>
              <w:t>4</w:t>
            </w:r>
          </w:p>
        </w:tc>
        <w:tc>
          <w:tcPr>
            <w:tcW w:w="1548" w:type="dxa"/>
            <w:tcBorders>
              <w:top w:val="nil"/>
              <w:left w:val="nil"/>
              <w:bottom w:val="nil"/>
              <w:right w:val="nil"/>
            </w:tcBorders>
          </w:tcPr>
          <w:p w14:paraId="0995892B" w14:textId="77777777" w:rsidR="00A42280" w:rsidRDefault="00000000">
            <w:pPr>
              <w:spacing w:line="276" w:lineRule="auto"/>
            </w:pPr>
            <w:r>
              <w:rPr>
                <w:rFonts w:ascii="Bookman Old Style" w:hAnsi="Bookman Old Style" w:cs="Bookman Old Style"/>
                <w:sz w:val="18"/>
              </w:rPr>
              <w:t>Comprehension checking</w:t>
            </w:r>
          </w:p>
        </w:tc>
        <w:tc>
          <w:tcPr>
            <w:tcW w:w="1469" w:type="dxa"/>
            <w:tcBorders>
              <w:top w:val="nil"/>
              <w:left w:val="nil"/>
              <w:bottom w:val="nil"/>
              <w:right w:val="nil"/>
            </w:tcBorders>
          </w:tcPr>
          <w:p w14:paraId="48BBEBD2" w14:textId="77777777" w:rsidR="00A42280" w:rsidRDefault="00000000">
            <w:pPr>
              <w:spacing w:line="276" w:lineRule="auto"/>
            </w:pPr>
            <w:r>
              <w:rPr>
                <w:rFonts w:ascii="Bookman Old Style" w:hAnsi="Bookman Old Style" w:cs="Bookman Old Style"/>
                <w:sz w:val="18"/>
              </w:rPr>
              <w:t>69</w:t>
            </w:r>
          </w:p>
        </w:tc>
        <w:tc>
          <w:tcPr>
            <w:tcW w:w="1472" w:type="dxa"/>
            <w:tcBorders>
              <w:top w:val="nil"/>
              <w:left w:val="nil"/>
              <w:bottom w:val="nil"/>
              <w:right w:val="nil"/>
            </w:tcBorders>
          </w:tcPr>
          <w:p w14:paraId="6C52AFC7" w14:textId="77777777" w:rsidR="00A42280" w:rsidRDefault="00000000">
            <w:pPr>
              <w:spacing w:line="276" w:lineRule="auto"/>
            </w:pPr>
            <w:r>
              <w:rPr>
                <w:rFonts w:ascii="Bookman Old Style" w:hAnsi="Bookman Old Style" w:cs="Bookman Old Style"/>
                <w:sz w:val="18"/>
              </w:rPr>
              <w:t>14.20%</w:t>
            </w:r>
          </w:p>
        </w:tc>
        <w:tc>
          <w:tcPr>
            <w:tcW w:w="1735" w:type="dxa"/>
            <w:tcBorders>
              <w:top w:val="nil"/>
              <w:left w:val="nil"/>
              <w:bottom w:val="nil"/>
              <w:right w:val="nil"/>
            </w:tcBorders>
          </w:tcPr>
          <w:p w14:paraId="3B2E52FD" w14:textId="77777777" w:rsidR="00A42280" w:rsidRDefault="00000000">
            <w:pPr>
              <w:spacing w:line="276" w:lineRule="auto"/>
            </w:pPr>
            <w:r>
              <w:rPr>
                <w:rFonts w:ascii="Bookman Old Style" w:hAnsi="Bookman Old Style" w:cs="Bookman Old Style"/>
                <w:sz w:val="18"/>
              </w:rPr>
              <w:t>Confirming students’ understanding</w:t>
            </w:r>
          </w:p>
        </w:tc>
      </w:tr>
      <w:tr w:rsidR="00A42280" w14:paraId="3070D9D2" w14:textId="77777777" w:rsidTr="002439A4">
        <w:trPr>
          <w:jc w:val="center"/>
        </w:trPr>
        <w:tc>
          <w:tcPr>
            <w:tcW w:w="1120" w:type="dxa"/>
            <w:tcBorders>
              <w:top w:val="nil"/>
              <w:left w:val="nil"/>
              <w:bottom w:val="nil"/>
              <w:right w:val="nil"/>
            </w:tcBorders>
          </w:tcPr>
          <w:p w14:paraId="5D01D598" w14:textId="77777777" w:rsidR="00A42280" w:rsidRDefault="00000000">
            <w:pPr>
              <w:spacing w:line="276" w:lineRule="auto"/>
            </w:pPr>
            <w:r>
              <w:rPr>
                <w:rFonts w:ascii="Bookman Old Style" w:hAnsi="Bookman Old Style" w:cs="Bookman Old Style"/>
                <w:sz w:val="18"/>
              </w:rPr>
              <w:t>5</w:t>
            </w:r>
          </w:p>
        </w:tc>
        <w:tc>
          <w:tcPr>
            <w:tcW w:w="1548" w:type="dxa"/>
            <w:tcBorders>
              <w:top w:val="nil"/>
              <w:left w:val="nil"/>
              <w:bottom w:val="nil"/>
              <w:right w:val="nil"/>
            </w:tcBorders>
          </w:tcPr>
          <w:p w14:paraId="2A6C0D00" w14:textId="77777777" w:rsidR="00A42280" w:rsidRDefault="00000000">
            <w:pPr>
              <w:spacing w:line="276" w:lineRule="auto"/>
            </w:pPr>
            <w:r>
              <w:rPr>
                <w:rFonts w:ascii="Bookman Old Style" w:hAnsi="Bookman Old Style" w:cs="Bookman Old Style"/>
                <w:sz w:val="18"/>
              </w:rPr>
              <w:t>Grammar explanation</w:t>
            </w:r>
          </w:p>
        </w:tc>
        <w:tc>
          <w:tcPr>
            <w:tcW w:w="1469" w:type="dxa"/>
            <w:tcBorders>
              <w:top w:val="nil"/>
              <w:left w:val="nil"/>
              <w:bottom w:val="nil"/>
              <w:right w:val="nil"/>
            </w:tcBorders>
          </w:tcPr>
          <w:p w14:paraId="0E3B783E" w14:textId="77777777" w:rsidR="00A42280" w:rsidRDefault="00000000">
            <w:pPr>
              <w:spacing w:line="276" w:lineRule="auto"/>
            </w:pPr>
            <w:r>
              <w:rPr>
                <w:rFonts w:ascii="Bookman Old Style" w:hAnsi="Bookman Old Style" w:cs="Bookman Old Style"/>
                <w:sz w:val="18"/>
              </w:rPr>
              <w:t>58</w:t>
            </w:r>
          </w:p>
        </w:tc>
        <w:tc>
          <w:tcPr>
            <w:tcW w:w="1472" w:type="dxa"/>
            <w:tcBorders>
              <w:top w:val="nil"/>
              <w:left w:val="nil"/>
              <w:bottom w:val="nil"/>
              <w:right w:val="nil"/>
            </w:tcBorders>
          </w:tcPr>
          <w:p w14:paraId="1A80A1B1" w14:textId="77777777" w:rsidR="00A42280" w:rsidRDefault="00000000">
            <w:pPr>
              <w:spacing w:line="276" w:lineRule="auto"/>
            </w:pPr>
            <w:r>
              <w:rPr>
                <w:rFonts w:ascii="Bookman Old Style" w:hAnsi="Bookman Old Style" w:cs="Bookman Old Style"/>
                <w:sz w:val="18"/>
              </w:rPr>
              <w:t>11.93%</w:t>
            </w:r>
          </w:p>
        </w:tc>
        <w:tc>
          <w:tcPr>
            <w:tcW w:w="1735" w:type="dxa"/>
            <w:tcBorders>
              <w:top w:val="nil"/>
              <w:left w:val="nil"/>
              <w:bottom w:val="nil"/>
              <w:right w:val="nil"/>
            </w:tcBorders>
          </w:tcPr>
          <w:p w14:paraId="53C7BB7F" w14:textId="77777777" w:rsidR="00A42280" w:rsidRDefault="00000000">
            <w:pPr>
              <w:spacing w:line="276" w:lineRule="auto"/>
            </w:pPr>
            <w:r>
              <w:rPr>
                <w:rFonts w:ascii="Bookman Old Style" w:hAnsi="Bookman Old Style" w:cs="Bookman Old Style"/>
                <w:sz w:val="18"/>
              </w:rPr>
              <w:t>Clarifying forms and rules</w:t>
            </w:r>
          </w:p>
        </w:tc>
      </w:tr>
      <w:tr w:rsidR="00A42280" w14:paraId="19617317" w14:textId="77777777" w:rsidTr="002439A4">
        <w:trPr>
          <w:jc w:val="center"/>
        </w:trPr>
        <w:tc>
          <w:tcPr>
            <w:tcW w:w="1120" w:type="dxa"/>
            <w:tcBorders>
              <w:top w:val="nil"/>
              <w:left w:val="nil"/>
              <w:bottom w:val="nil"/>
              <w:right w:val="nil"/>
            </w:tcBorders>
          </w:tcPr>
          <w:p w14:paraId="7461093B" w14:textId="77777777" w:rsidR="00A42280" w:rsidRDefault="00000000">
            <w:pPr>
              <w:spacing w:line="276" w:lineRule="auto"/>
            </w:pPr>
            <w:r>
              <w:rPr>
                <w:rFonts w:ascii="Bookman Old Style" w:hAnsi="Bookman Old Style" w:cs="Bookman Old Style"/>
                <w:sz w:val="18"/>
              </w:rPr>
              <w:t>6</w:t>
            </w:r>
          </w:p>
        </w:tc>
        <w:tc>
          <w:tcPr>
            <w:tcW w:w="1548" w:type="dxa"/>
            <w:tcBorders>
              <w:top w:val="nil"/>
              <w:left w:val="nil"/>
              <w:bottom w:val="nil"/>
              <w:right w:val="nil"/>
            </w:tcBorders>
          </w:tcPr>
          <w:p w14:paraId="49AC0243" w14:textId="77777777" w:rsidR="00A42280" w:rsidRDefault="00000000">
            <w:pPr>
              <w:spacing w:line="276" w:lineRule="auto"/>
            </w:pPr>
            <w:r>
              <w:rPr>
                <w:rFonts w:ascii="Bookman Old Style" w:hAnsi="Bookman Old Style" w:cs="Bookman Old Style"/>
                <w:sz w:val="18"/>
              </w:rPr>
              <w:t>Emphasis and repetition</w:t>
            </w:r>
          </w:p>
        </w:tc>
        <w:tc>
          <w:tcPr>
            <w:tcW w:w="1469" w:type="dxa"/>
            <w:tcBorders>
              <w:top w:val="nil"/>
              <w:left w:val="nil"/>
              <w:bottom w:val="nil"/>
              <w:right w:val="nil"/>
            </w:tcBorders>
          </w:tcPr>
          <w:p w14:paraId="66DF987B" w14:textId="77777777" w:rsidR="00A42280" w:rsidRDefault="00000000">
            <w:pPr>
              <w:spacing w:line="276" w:lineRule="auto"/>
            </w:pPr>
            <w:r>
              <w:rPr>
                <w:rFonts w:ascii="Bookman Old Style" w:hAnsi="Bookman Old Style" w:cs="Bookman Old Style"/>
                <w:sz w:val="18"/>
              </w:rPr>
              <w:t>51</w:t>
            </w:r>
          </w:p>
        </w:tc>
        <w:tc>
          <w:tcPr>
            <w:tcW w:w="1472" w:type="dxa"/>
            <w:tcBorders>
              <w:top w:val="nil"/>
              <w:left w:val="nil"/>
              <w:bottom w:val="nil"/>
              <w:right w:val="nil"/>
            </w:tcBorders>
          </w:tcPr>
          <w:p w14:paraId="2AE9A637" w14:textId="77777777" w:rsidR="00A42280" w:rsidRDefault="00000000">
            <w:pPr>
              <w:spacing w:line="276" w:lineRule="auto"/>
            </w:pPr>
            <w:r>
              <w:rPr>
                <w:rFonts w:ascii="Bookman Old Style" w:hAnsi="Bookman Old Style" w:cs="Bookman Old Style"/>
                <w:sz w:val="18"/>
              </w:rPr>
              <w:t>10.49%</w:t>
            </w:r>
          </w:p>
        </w:tc>
        <w:tc>
          <w:tcPr>
            <w:tcW w:w="1735" w:type="dxa"/>
            <w:tcBorders>
              <w:top w:val="nil"/>
              <w:left w:val="nil"/>
              <w:bottom w:val="nil"/>
              <w:right w:val="nil"/>
            </w:tcBorders>
          </w:tcPr>
          <w:p w14:paraId="609A454D" w14:textId="77777777" w:rsidR="00A42280" w:rsidRDefault="00000000">
            <w:pPr>
              <w:spacing w:line="276" w:lineRule="auto"/>
            </w:pPr>
            <w:r>
              <w:rPr>
                <w:rFonts w:ascii="Bookman Old Style" w:hAnsi="Bookman Old Style" w:cs="Bookman Old Style"/>
                <w:sz w:val="18"/>
              </w:rPr>
              <w:t>Highlighting important points</w:t>
            </w:r>
          </w:p>
        </w:tc>
      </w:tr>
      <w:tr w:rsidR="00A42280" w14:paraId="36732D15" w14:textId="77777777" w:rsidTr="002439A4">
        <w:trPr>
          <w:jc w:val="center"/>
        </w:trPr>
        <w:tc>
          <w:tcPr>
            <w:tcW w:w="1120" w:type="dxa"/>
            <w:tcBorders>
              <w:top w:val="nil"/>
              <w:left w:val="nil"/>
              <w:bottom w:val="nil"/>
              <w:right w:val="nil"/>
            </w:tcBorders>
          </w:tcPr>
          <w:p w14:paraId="4A890435" w14:textId="77777777" w:rsidR="00A42280" w:rsidRDefault="00000000">
            <w:pPr>
              <w:spacing w:line="276" w:lineRule="auto"/>
            </w:pPr>
            <w:r>
              <w:rPr>
                <w:rFonts w:ascii="Bookman Old Style" w:hAnsi="Bookman Old Style" w:cs="Bookman Old Style"/>
                <w:sz w:val="18"/>
              </w:rPr>
              <w:t>7</w:t>
            </w:r>
          </w:p>
        </w:tc>
        <w:tc>
          <w:tcPr>
            <w:tcW w:w="1548" w:type="dxa"/>
            <w:tcBorders>
              <w:top w:val="nil"/>
              <w:left w:val="nil"/>
              <w:bottom w:val="nil"/>
              <w:right w:val="nil"/>
            </w:tcBorders>
          </w:tcPr>
          <w:p w14:paraId="057350B4" w14:textId="77777777" w:rsidR="00A42280" w:rsidRDefault="00000000">
            <w:pPr>
              <w:spacing w:line="276" w:lineRule="auto"/>
            </w:pPr>
            <w:r>
              <w:rPr>
                <w:rFonts w:ascii="Bookman Old Style" w:hAnsi="Bookman Old Style" w:cs="Bookman Old Style"/>
                <w:sz w:val="18"/>
              </w:rPr>
              <w:t>Affective support</w:t>
            </w:r>
          </w:p>
        </w:tc>
        <w:tc>
          <w:tcPr>
            <w:tcW w:w="1469" w:type="dxa"/>
            <w:tcBorders>
              <w:top w:val="nil"/>
              <w:left w:val="nil"/>
              <w:bottom w:val="nil"/>
              <w:right w:val="nil"/>
            </w:tcBorders>
          </w:tcPr>
          <w:p w14:paraId="33EBCF00" w14:textId="77777777" w:rsidR="00A42280" w:rsidRDefault="00000000">
            <w:pPr>
              <w:spacing w:line="276" w:lineRule="auto"/>
            </w:pPr>
            <w:r>
              <w:rPr>
                <w:rFonts w:ascii="Bookman Old Style" w:hAnsi="Bookman Old Style" w:cs="Bookman Old Style"/>
                <w:sz w:val="18"/>
              </w:rPr>
              <w:t>36</w:t>
            </w:r>
          </w:p>
        </w:tc>
        <w:tc>
          <w:tcPr>
            <w:tcW w:w="1472" w:type="dxa"/>
            <w:tcBorders>
              <w:top w:val="nil"/>
              <w:left w:val="nil"/>
              <w:bottom w:val="nil"/>
              <w:right w:val="nil"/>
            </w:tcBorders>
          </w:tcPr>
          <w:p w14:paraId="78710305" w14:textId="77777777" w:rsidR="00A42280" w:rsidRDefault="00000000">
            <w:pPr>
              <w:spacing w:line="276" w:lineRule="auto"/>
            </w:pPr>
            <w:r>
              <w:rPr>
                <w:rFonts w:ascii="Bookman Old Style" w:hAnsi="Bookman Old Style" w:cs="Bookman Old Style"/>
                <w:sz w:val="18"/>
              </w:rPr>
              <w:t>7.40%</w:t>
            </w:r>
          </w:p>
        </w:tc>
        <w:tc>
          <w:tcPr>
            <w:tcW w:w="1735" w:type="dxa"/>
            <w:tcBorders>
              <w:top w:val="nil"/>
              <w:left w:val="nil"/>
              <w:bottom w:val="nil"/>
              <w:right w:val="nil"/>
            </w:tcBorders>
          </w:tcPr>
          <w:p w14:paraId="228DD6B9" w14:textId="77777777" w:rsidR="00A42280" w:rsidRDefault="00000000">
            <w:pPr>
              <w:spacing w:line="276" w:lineRule="auto"/>
            </w:pPr>
            <w:r>
              <w:rPr>
                <w:rFonts w:ascii="Bookman Old Style" w:hAnsi="Bookman Old Style" w:cs="Bookman Old Style"/>
                <w:sz w:val="18"/>
              </w:rPr>
              <w:t>Reducing anxiety and building rapport</w:t>
            </w:r>
          </w:p>
        </w:tc>
      </w:tr>
      <w:tr w:rsidR="00A42280" w14:paraId="168FB87C" w14:textId="77777777" w:rsidTr="002439A4">
        <w:trPr>
          <w:jc w:val="center"/>
        </w:trPr>
        <w:tc>
          <w:tcPr>
            <w:tcW w:w="1120" w:type="dxa"/>
            <w:tcBorders>
              <w:top w:val="nil"/>
              <w:left w:val="nil"/>
              <w:bottom w:val="single" w:sz="4" w:space="0" w:color="000000"/>
              <w:right w:val="nil"/>
            </w:tcBorders>
          </w:tcPr>
          <w:p w14:paraId="7B95491B" w14:textId="77777777" w:rsidR="00A42280" w:rsidRDefault="00000000">
            <w:pPr>
              <w:spacing w:line="276" w:lineRule="auto"/>
            </w:pPr>
            <w:r>
              <w:rPr>
                <w:rFonts w:ascii="Bookman Old Style" w:hAnsi="Bookman Old Style" w:cs="Bookman Old Style"/>
                <w:sz w:val="18"/>
              </w:rPr>
              <w:t>Total</w:t>
            </w:r>
          </w:p>
        </w:tc>
        <w:tc>
          <w:tcPr>
            <w:tcW w:w="1548" w:type="dxa"/>
            <w:tcBorders>
              <w:top w:val="nil"/>
              <w:left w:val="nil"/>
              <w:bottom w:val="single" w:sz="4" w:space="0" w:color="000000"/>
              <w:right w:val="nil"/>
            </w:tcBorders>
          </w:tcPr>
          <w:p w14:paraId="29227FC7" w14:textId="77777777" w:rsidR="00A42280" w:rsidRDefault="00A42280">
            <w:pPr>
              <w:spacing w:line="276" w:lineRule="auto"/>
            </w:pPr>
          </w:p>
        </w:tc>
        <w:tc>
          <w:tcPr>
            <w:tcW w:w="1469" w:type="dxa"/>
            <w:tcBorders>
              <w:top w:val="nil"/>
              <w:left w:val="nil"/>
              <w:bottom w:val="single" w:sz="4" w:space="0" w:color="000000"/>
              <w:right w:val="nil"/>
            </w:tcBorders>
          </w:tcPr>
          <w:p w14:paraId="2B8CCF95" w14:textId="77777777" w:rsidR="00A42280" w:rsidRDefault="00000000">
            <w:pPr>
              <w:spacing w:line="276" w:lineRule="auto"/>
            </w:pPr>
            <w:r>
              <w:rPr>
                <w:rFonts w:ascii="Bookman Old Style" w:hAnsi="Bookman Old Style" w:cs="Bookman Old Style"/>
                <w:sz w:val="18"/>
              </w:rPr>
              <w:t>486</w:t>
            </w:r>
          </w:p>
        </w:tc>
        <w:tc>
          <w:tcPr>
            <w:tcW w:w="1472" w:type="dxa"/>
            <w:tcBorders>
              <w:top w:val="nil"/>
              <w:left w:val="nil"/>
              <w:bottom w:val="single" w:sz="4" w:space="0" w:color="000000"/>
              <w:right w:val="nil"/>
            </w:tcBorders>
          </w:tcPr>
          <w:p w14:paraId="54045C3F" w14:textId="77777777" w:rsidR="00A42280" w:rsidRDefault="00000000">
            <w:pPr>
              <w:spacing w:line="276" w:lineRule="auto"/>
            </w:pPr>
            <w:r>
              <w:rPr>
                <w:rFonts w:ascii="Bookman Old Style" w:hAnsi="Bookman Old Style" w:cs="Bookman Old Style"/>
                <w:sz w:val="18"/>
              </w:rPr>
              <w:t>100%</w:t>
            </w:r>
          </w:p>
        </w:tc>
        <w:tc>
          <w:tcPr>
            <w:tcW w:w="1735" w:type="dxa"/>
            <w:tcBorders>
              <w:top w:val="nil"/>
              <w:left w:val="nil"/>
              <w:bottom w:val="single" w:sz="4" w:space="0" w:color="000000"/>
              <w:right w:val="nil"/>
            </w:tcBorders>
          </w:tcPr>
          <w:p w14:paraId="4653C3EA" w14:textId="77777777" w:rsidR="00A42280" w:rsidRDefault="00A42280">
            <w:pPr>
              <w:spacing w:line="276" w:lineRule="auto"/>
            </w:pPr>
          </w:p>
        </w:tc>
      </w:tr>
    </w:tbl>
    <w:p w14:paraId="345640EC" w14:textId="77777777" w:rsidR="00A42280" w:rsidRDefault="00000000">
      <w:pPr>
        <w:spacing w:line="276" w:lineRule="auto"/>
      </w:pPr>
      <w:r>
        <w:rPr>
          <w:rFonts w:ascii="Bookman Old Style" w:hAnsi="Bookman Old Style" w:cs="Bookman Old Style"/>
          <w:i/>
          <w:sz w:val="20"/>
        </w:rPr>
        <w:t>Source: Processed from classroom transcript coding.</w:t>
      </w:r>
    </w:p>
    <w:p w14:paraId="5FC8A084" w14:textId="77777777" w:rsidR="002439A4" w:rsidRDefault="002439A4">
      <w:pPr>
        <w:spacing w:line="276" w:lineRule="auto"/>
        <w:ind w:firstLine="720"/>
        <w:jc w:val="both"/>
        <w:rPr>
          <w:rFonts w:ascii="Bookman Old Style" w:hAnsi="Bookman Old Style" w:cs="Bookman Old Style"/>
          <w:sz w:val="22"/>
        </w:rPr>
      </w:pPr>
    </w:p>
    <w:p w14:paraId="6C05637E" w14:textId="6F7E6A80" w:rsidR="00A42280" w:rsidRDefault="00000000">
      <w:pPr>
        <w:spacing w:line="276" w:lineRule="auto"/>
        <w:ind w:firstLine="720"/>
        <w:jc w:val="both"/>
      </w:pPr>
      <w:r>
        <w:rPr>
          <w:rFonts w:ascii="Bookman Old Style" w:hAnsi="Bookman Old Style" w:cs="Bookman Old Style"/>
          <w:sz w:val="22"/>
        </w:rPr>
        <w:lastRenderedPageBreak/>
        <w:t>Content clarification was most frequent, used for abstract concepts or grammatical meaning, maintaining lesson continuity and preventing misunderstanding.</w:t>
      </w:r>
    </w:p>
    <w:p w14:paraId="25C6B6BC" w14:textId="77777777" w:rsidR="00A42280" w:rsidRDefault="00000000">
      <w:pPr>
        <w:spacing w:line="276" w:lineRule="auto"/>
        <w:ind w:firstLine="720"/>
        <w:jc w:val="both"/>
      </w:pPr>
      <w:r>
        <w:rPr>
          <w:rFonts w:ascii="Bookman Old Style" w:hAnsi="Bookman Old Style" w:cs="Bookman Old Style"/>
          <w:sz w:val="22"/>
        </w:rPr>
        <w:t>Vocabulary explanation switched to Indonesian for meaning, examples, or context after introducing English terms—connecting form, meaning, and use for unfamiliar words.</w:t>
      </w:r>
    </w:p>
    <w:p w14:paraId="535D1B98" w14:textId="77777777" w:rsidR="00A42280" w:rsidRDefault="00000000">
      <w:pPr>
        <w:spacing w:line="276" w:lineRule="auto"/>
        <w:ind w:firstLine="720"/>
        <w:jc w:val="both"/>
      </w:pPr>
      <w:r>
        <w:rPr>
          <w:rFonts w:ascii="Bookman Old Style" w:hAnsi="Bookman Old Style" w:cs="Bookman Old Style"/>
          <w:sz w:val="22"/>
        </w:rPr>
        <w:t>Classroom management used Indonesian for urgent instructions or group organization, creating immediate clarity before teachers returned to English once stabilized.</w:t>
      </w:r>
    </w:p>
    <w:p w14:paraId="35F87321" w14:textId="77777777" w:rsidR="00A42280" w:rsidRDefault="00000000">
      <w:pPr>
        <w:spacing w:line="276" w:lineRule="auto"/>
        <w:ind w:firstLine="720"/>
        <w:jc w:val="both"/>
      </w:pPr>
      <w:r>
        <w:rPr>
          <w:rFonts w:ascii="Bookman Old Style" w:hAnsi="Bookman Old Style" w:cs="Bookman Old Style"/>
          <w:sz w:val="22"/>
        </w:rPr>
        <w:t>Comprehension checking paired "Do you understand?" with Indonesian prompts ("sudah jelas?"), letting students express confusion more openly.</w:t>
      </w:r>
    </w:p>
    <w:p w14:paraId="17659BD2" w14:textId="77777777" w:rsidR="00A42280" w:rsidRDefault="00000000">
      <w:pPr>
        <w:spacing w:line="276" w:lineRule="auto"/>
        <w:ind w:firstLine="720"/>
        <w:jc w:val="both"/>
      </w:pPr>
      <w:r>
        <w:rPr>
          <w:rFonts w:ascii="Bookman Old Style" w:hAnsi="Bookman Old Style" w:cs="Bookman Old Style"/>
          <w:sz w:val="22"/>
        </w:rPr>
        <w:t>Grammar explanation switched to Indonesian after English examples to explain structures, showing grammar remained tied to the shared language.</w:t>
      </w:r>
    </w:p>
    <w:p w14:paraId="3017912B" w14:textId="77777777" w:rsidR="00A42280" w:rsidRDefault="00000000">
      <w:pPr>
        <w:spacing w:line="276" w:lineRule="auto"/>
        <w:ind w:firstLine="720"/>
        <w:jc w:val="both"/>
      </w:pPr>
      <w:r>
        <w:rPr>
          <w:rFonts w:ascii="Bookman Old Style" w:hAnsi="Bookman Old Style" w:cs="Bookman Old Style"/>
          <w:sz w:val="22"/>
        </w:rPr>
        <w:t>Affective support used Indonesian to encourage students, reduce anxiety, or build closeness—especially when students hesitated to speak English.</w:t>
      </w:r>
    </w:p>
    <w:p w14:paraId="1328FC36" w14:textId="77777777" w:rsidR="00A42280" w:rsidRDefault="00000000">
      <w:pPr>
        <w:keepNext/>
        <w:spacing w:before="200" w:line="276" w:lineRule="auto"/>
      </w:pPr>
      <w:r>
        <w:rPr>
          <w:rFonts w:ascii="Bookman Old Style" w:hAnsi="Bookman Old Style" w:cs="Bookman Old Style"/>
          <w:b/>
          <w:sz w:val="22"/>
        </w:rPr>
        <w:t>Sociolinguistic and Identity Functions of Code-Switching</w:t>
      </w:r>
    </w:p>
    <w:p w14:paraId="26605213" w14:textId="77777777" w:rsidR="00A42280" w:rsidRDefault="00000000">
      <w:pPr>
        <w:spacing w:line="276" w:lineRule="auto"/>
        <w:ind w:firstLine="720"/>
        <w:jc w:val="both"/>
      </w:pPr>
      <w:r>
        <w:rPr>
          <w:rFonts w:ascii="Bookman Old Style" w:hAnsi="Bookman Old Style" w:cs="Bookman Old Style"/>
          <w:sz w:val="22"/>
        </w:rPr>
        <w:t>Beyond pedagogical functions, code-switching helped negotiate classroom roles, bilingual identity, solidarity, and social distance—the classroom was a site for performing bilingual identities, not only learning language.</w:t>
      </w:r>
    </w:p>
    <w:p w14:paraId="58396E0E" w14:textId="77777777" w:rsidR="00A42280" w:rsidRDefault="00000000">
      <w:pPr>
        <w:spacing w:line="276" w:lineRule="auto"/>
        <w:ind w:firstLine="720"/>
        <w:jc w:val="both"/>
      </w:pPr>
      <w:r>
        <w:rPr>
          <w:rFonts w:ascii="Bookman Old Style" w:hAnsi="Bookman Old Style" w:cs="Bookman Old Style"/>
          <w:sz w:val="22"/>
        </w:rPr>
        <w:t>Students used code-switching to participate despite limited English, beginning in Indonesian while inserting English keywords like "setting," "problem," and "moral value," enabling partial target-language participation.</w:t>
      </w:r>
    </w:p>
    <w:p w14:paraId="2E3FF00B" w14:textId="77777777" w:rsidR="00A42280" w:rsidRDefault="00000000">
      <w:pPr>
        <w:spacing w:line="276" w:lineRule="auto"/>
        <w:ind w:firstLine="720"/>
        <w:jc w:val="both"/>
      </w:pPr>
      <w:r>
        <w:rPr>
          <w:rFonts w:ascii="Bookman Old Style" w:hAnsi="Bookman Old Style" w:cs="Bookman Old Style"/>
          <w:sz w:val="22"/>
        </w:rPr>
        <w:t>Code-switching also marked peer solidarity—Indonesian or local expressions when joking or helping classmates—while more English was used for formal tasks, linking language choice to role and context.</w:t>
      </w:r>
    </w:p>
    <w:p w14:paraId="65E8B17B" w14:textId="77777777" w:rsidR="00A42280" w:rsidRDefault="00000000">
      <w:pPr>
        <w:spacing w:line="276" w:lineRule="auto"/>
        <w:ind w:firstLine="720"/>
        <w:jc w:val="both"/>
      </w:pPr>
      <w:r>
        <w:rPr>
          <w:rFonts w:ascii="Bookman Old Style" w:hAnsi="Bookman Old Style" w:cs="Bookman Old Style"/>
          <w:sz w:val="22"/>
        </w:rPr>
        <w:t>Teachers used code-switching to manage social distance: English maintained the formal frame while Indonesian created closeness or humor when students looked confused or needed encouragement.</w:t>
      </w:r>
    </w:p>
    <w:p w14:paraId="2AEDB392" w14:textId="77777777" w:rsidR="00A42280" w:rsidRDefault="00000000">
      <w:pPr>
        <w:keepNext/>
        <w:spacing w:before="100" w:line="276" w:lineRule="auto"/>
      </w:pPr>
      <w:r>
        <w:rPr>
          <w:rFonts w:ascii="Bookman Old Style" w:hAnsi="Bookman Old Style" w:cs="Bookman Old Style"/>
          <w:sz w:val="22"/>
        </w:rPr>
        <w:lastRenderedPageBreak/>
        <w:t>Table 3. Sociolinguistic Functions of Code-Switching</w:t>
      </w:r>
    </w:p>
    <w:tbl>
      <w:tblPr>
        <w:tblW w:w="0" w:type="auto"/>
        <w:jc w:val="center"/>
        <w:tblCellMar>
          <w:top w:w="20" w:type="dxa"/>
          <w:left w:w="80" w:type="dxa"/>
          <w:bottom w:w="20" w:type="dxa"/>
          <w:right w:w="80" w:type="dxa"/>
        </w:tblCellMar>
        <w:tblLook w:val="04A0" w:firstRow="1" w:lastRow="0" w:firstColumn="1" w:lastColumn="0" w:noHBand="0" w:noVBand="1"/>
      </w:tblPr>
      <w:tblGrid>
        <w:gridCol w:w="2407"/>
        <w:gridCol w:w="2420"/>
        <w:gridCol w:w="2429"/>
      </w:tblGrid>
      <w:tr w:rsidR="00A42280" w14:paraId="2925A611" w14:textId="77777777">
        <w:trPr>
          <w:jc w:val="center"/>
        </w:trPr>
        <w:tc>
          <w:tcPr>
            <w:tcW w:w="2475" w:type="dxa"/>
            <w:tcBorders>
              <w:top w:val="single" w:sz="4" w:space="0" w:color="000000"/>
              <w:left w:val="nil"/>
              <w:bottom w:val="single" w:sz="4" w:space="0" w:color="000000"/>
              <w:right w:val="nil"/>
            </w:tcBorders>
          </w:tcPr>
          <w:p w14:paraId="7C0EB37D" w14:textId="77777777" w:rsidR="00A42280" w:rsidRDefault="00000000">
            <w:pPr>
              <w:spacing w:line="276" w:lineRule="auto"/>
              <w:jc w:val="center"/>
            </w:pPr>
            <w:r>
              <w:rPr>
                <w:rFonts w:ascii="Bookman Old Style" w:hAnsi="Bookman Old Style" w:cs="Bookman Old Style"/>
                <w:b/>
                <w:sz w:val="18"/>
              </w:rPr>
              <w:t>Function</w:t>
            </w:r>
          </w:p>
        </w:tc>
        <w:tc>
          <w:tcPr>
            <w:tcW w:w="2475" w:type="dxa"/>
            <w:tcBorders>
              <w:top w:val="single" w:sz="4" w:space="0" w:color="000000"/>
              <w:left w:val="nil"/>
              <w:bottom w:val="single" w:sz="4" w:space="0" w:color="000000"/>
              <w:right w:val="nil"/>
            </w:tcBorders>
          </w:tcPr>
          <w:p w14:paraId="5B08BF3D" w14:textId="77777777" w:rsidR="00A42280" w:rsidRDefault="00000000">
            <w:pPr>
              <w:spacing w:line="276" w:lineRule="auto"/>
              <w:jc w:val="center"/>
            </w:pPr>
            <w:r>
              <w:rPr>
                <w:rFonts w:ascii="Bookman Old Style" w:hAnsi="Bookman Old Style" w:cs="Bookman Old Style"/>
                <w:b/>
                <w:sz w:val="18"/>
              </w:rPr>
              <w:t>Interactional Evidence</w:t>
            </w:r>
          </w:p>
        </w:tc>
        <w:tc>
          <w:tcPr>
            <w:tcW w:w="2475" w:type="dxa"/>
            <w:tcBorders>
              <w:top w:val="single" w:sz="4" w:space="0" w:color="000000"/>
              <w:left w:val="nil"/>
              <w:bottom w:val="single" w:sz="4" w:space="0" w:color="000000"/>
              <w:right w:val="nil"/>
            </w:tcBorders>
          </w:tcPr>
          <w:p w14:paraId="799D7886" w14:textId="77777777" w:rsidR="00A42280" w:rsidRDefault="00000000">
            <w:pPr>
              <w:spacing w:line="276" w:lineRule="auto"/>
              <w:jc w:val="center"/>
            </w:pPr>
            <w:r>
              <w:rPr>
                <w:rFonts w:ascii="Bookman Old Style" w:hAnsi="Bookman Old Style" w:cs="Bookman Old Style"/>
                <w:b/>
                <w:sz w:val="18"/>
              </w:rPr>
              <w:t>Sociolinguistic Meaning</w:t>
            </w:r>
          </w:p>
        </w:tc>
      </w:tr>
      <w:tr w:rsidR="00A42280" w14:paraId="42B8D2A1" w14:textId="77777777">
        <w:trPr>
          <w:jc w:val="center"/>
        </w:trPr>
        <w:tc>
          <w:tcPr>
            <w:tcW w:w="2475" w:type="dxa"/>
            <w:tcBorders>
              <w:top w:val="nil"/>
              <w:left w:val="nil"/>
              <w:bottom w:val="nil"/>
              <w:right w:val="nil"/>
            </w:tcBorders>
          </w:tcPr>
          <w:p w14:paraId="2460978B" w14:textId="77777777" w:rsidR="00A42280" w:rsidRDefault="00000000">
            <w:pPr>
              <w:spacing w:line="276" w:lineRule="auto"/>
            </w:pPr>
            <w:r>
              <w:rPr>
                <w:rFonts w:ascii="Bookman Old Style" w:hAnsi="Bookman Old Style" w:cs="Bookman Old Style"/>
                <w:sz w:val="18"/>
              </w:rPr>
              <w:t>Identity negotiation</w:t>
            </w:r>
          </w:p>
        </w:tc>
        <w:tc>
          <w:tcPr>
            <w:tcW w:w="2475" w:type="dxa"/>
            <w:tcBorders>
              <w:top w:val="nil"/>
              <w:left w:val="nil"/>
              <w:bottom w:val="nil"/>
              <w:right w:val="nil"/>
            </w:tcBorders>
          </w:tcPr>
          <w:p w14:paraId="28A28045" w14:textId="77777777" w:rsidR="00A42280" w:rsidRDefault="00000000">
            <w:pPr>
              <w:spacing w:line="276" w:lineRule="auto"/>
            </w:pPr>
            <w:r>
              <w:rPr>
                <w:rFonts w:ascii="Bookman Old Style" w:hAnsi="Bookman Old Style" w:cs="Bookman Old Style"/>
                <w:sz w:val="18"/>
              </w:rPr>
              <w:t>Students combined Indonesian explanation with English academic terms</w:t>
            </w:r>
          </w:p>
        </w:tc>
        <w:tc>
          <w:tcPr>
            <w:tcW w:w="2475" w:type="dxa"/>
            <w:tcBorders>
              <w:top w:val="nil"/>
              <w:left w:val="nil"/>
              <w:bottom w:val="nil"/>
              <w:right w:val="nil"/>
            </w:tcBorders>
          </w:tcPr>
          <w:p w14:paraId="7D1FA98F" w14:textId="77777777" w:rsidR="00A42280" w:rsidRDefault="00000000">
            <w:pPr>
              <w:spacing w:line="276" w:lineRule="auto"/>
            </w:pPr>
            <w:r>
              <w:rPr>
                <w:rFonts w:ascii="Bookman Old Style" w:hAnsi="Bookman Old Style" w:cs="Bookman Old Style"/>
                <w:sz w:val="18"/>
              </w:rPr>
              <w:t>Students positioned themselves as emerging bilingual learners</w:t>
            </w:r>
          </w:p>
        </w:tc>
      </w:tr>
      <w:tr w:rsidR="00A42280" w14:paraId="68277F07" w14:textId="77777777">
        <w:trPr>
          <w:jc w:val="center"/>
        </w:trPr>
        <w:tc>
          <w:tcPr>
            <w:tcW w:w="2475" w:type="dxa"/>
            <w:tcBorders>
              <w:top w:val="nil"/>
              <w:left w:val="nil"/>
              <w:bottom w:val="nil"/>
              <w:right w:val="nil"/>
            </w:tcBorders>
          </w:tcPr>
          <w:p w14:paraId="477531BF" w14:textId="77777777" w:rsidR="00A42280" w:rsidRDefault="00000000">
            <w:pPr>
              <w:spacing w:line="276" w:lineRule="auto"/>
            </w:pPr>
            <w:r>
              <w:rPr>
                <w:rFonts w:ascii="Bookman Old Style" w:hAnsi="Bookman Old Style" w:cs="Bookman Old Style"/>
                <w:sz w:val="18"/>
              </w:rPr>
              <w:t>Peer solidarity</w:t>
            </w:r>
          </w:p>
        </w:tc>
        <w:tc>
          <w:tcPr>
            <w:tcW w:w="2475" w:type="dxa"/>
            <w:tcBorders>
              <w:top w:val="nil"/>
              <w:left w:val="nil"/>
              <w:bottom w:val="nil"/>
              <w:right w:val="nil"/>
            </w:tcBorders>
          </w:tcPr>
          <w:p w14:paraId="76023C42" w14:textId="77777777" w:rsidR="00A42280" w:rsidRDefault="00000000">
            <w:pPr>
              <w:spacing w:line="276" w:lineRule="auto"/>
            </w:pPr>
            <w:r>
              <w:rPr>
                <w:rFonts w:ascii="Bookman Old Style" w:hAnsi="Bookman Old Style" w:cs="Bookman Old Style"/>
                <w:sz w:val="18"/>
              </w:rPr>
              <w:t>Students used Indonesian or local expressions during group work</w:t>
            </w:r>
          </w:p>
        </w:tc>
        <w:tc>
          <w:tcPr>
            <w:tcW w:w="2475" w:type="dxa"/>
            <w:tcBorders>
              <w:top w:val="nil"/>
              <w:left w:val="nil"/>
              <w:bottom w:val="nil"/>
              <w:right w:val="nil"/>
            </w:tcBorders>
          </w:tcPr>
          <w:p w14:paraId="4ECEA1F1" w14:textId="77777777" w:rsidR="00A42280" w:rsidRDefault="00000000">
            <w:pPr>
              <w:spacing w:line="276" w:lineRule="auto"/>
            </w:pPr>
            <w:r>
              <w:rPr>
                <w:rFonts w:ascii="Bookman Old Style" w:hAnsi="Bookman Old Style" w:cs="Bookman Old Style"/>
                <w:sz w:val="18"/>
              </w:rPr>
              <w:t>Code-switching created informal support and closeness</w:t>
            </w:r>
          </w:p>
        </w:tc>
      </w:tr>
      <w:tr w:rsidR="00A42280" w14:paraId="541606BC" w14:textId="77777777">
        <w:trPr>
          <w:jc w:val="center"/>
        </w:trPr>
        <w:tc>
          <w:tcPr>
            <w:tcW w:w="2475" w:type="dxa"/>
            <w:tcBorders>
              <w:top w:val="nil"/>
              <w:left w:val="nil"/>
              <w:bottom w:val="nil"/>
              <w:right w:val="nil"/>
            </w:tcBorders>
          </w:tcPr>
          <w:p w14:paraId="4E411FA3" w14:textId="77777777" w:rsidR="00A42280" w:rsidRDefault="00000000">
            <w:pPr>
              <w:spacing w:line="276" w:lineRule="auto"/>
            </w:pPr>
            <w:r>
              <w:rPr>
                <w:rFonts w:ascii="Bookman Old Style" w:hAnsi="Bookman Old Style" w:cs="Bookman Old Style"/>
                <w:sz w:val="18"/>
              </w:rPr>
              <w:t>Role marking</w:t>
            </w:r>
          </w:p>
        </w:tc>
        <w:tc>
          <w:tcPr>
            <w:tcW w:w="2475" w:type="dxa"/>
            <w:tcBorders>
              <w:top w:val="nil"/>
              <w:left w:val="nil"/>
              <w:bottom w:val="nil"/>
              <w:right w:val="nil"/>
            </w:tcBorders>
          </w:tcPr>
          <w:p w14:paraId="33677FDD" w14:textId="77777777" w:rsidR="00A42280" w:rsidRDefault="00000000">
            <w:pPr>
              <w:spacing w:line="276" w:lineRule="auto"/>
            </w:pPr>
            <w:r>
              <w:rPr>
                <w:rFonts w:ascii="Bookman Old Style" w:hAnsi="Bookman Old Style" w:cs="Bookman Old Style"/>
                <w:sz w:val="18"/>
              </w:rPr>
              <w:t>English appeared in formal responses; Indonesian appeared in negotiation</w:t>
            </w:r>
          </w:p>
        </w:tc>
        <w:tc>
          <w:tcPr>
            <w:tcW w:w="2475" w:type="dxa"/>
            <w:tcBorders>
              <w:top w:val="nil"/>
              <w:left w:val="nil"/>
              <w:bottom w:val="nil"/>
              <w:right w:val="nil"/>
            </w:tcBorders>
          </w:tcPr>
          <w:p w14:paraId="24A11E59" w14:textId="77777777" w:rsidR="00A42280" w:rsidRDefault="00000000">
            <w:pPr>
              <w:spacing w:line="276" w:lineRule="auto"/>
            </w:pPr>
            <w:r>
              <w:rPr>
                <w:rFonts w:ascii="Bookman Old Style" w:hAnsi="Bookman Old Style" w:cs="Bookman Old Style"/>
                <w:sz w:val="18"/>
              </w:rPr>
              <w:t>Language choice indexed classroom roles</w:t>
            </w:r>
          </w:p>
        </w:tc>
      </w:tr>
      <w:tr w:rsidR="00A42280" w14:paraId="4F5DAE7A" w14:textId="77777777">
        <w:trPr>
          <w:jc w:val="center"/>
        </w:trPr>
        <w:tc>
          <w:tcPr>
            <w:tcW w:w="2475" w:type="dxa"/>
            <w:tcBorders>
              <w:top w:val="nil"/>
              <w:left w:val="nil"/>
              <w:bottom w:val="nil"/>
              <w:right w:val="nil"/>
            </w:tcBorders>
          </w:tcPr>
          <w:p w14:paraId="6C0D424C" w14:textId="77777777" w:rsidR="00A42280" w:rsidRDefault="00000000">
            <w:pPr>
              <w:spacing w:line="276" w:lineRule="auto"/>
            </w:pPr>
            <w:r>
              <w:rPr>
                <w:rFonts w:ascii="Bookman Old Style" w:hAnsi="Bookman Old Style" w:cs="Bookman Old Style"/>
                <w:sz w:val="18"/>
              </w:rPr>
              <w:t>Affective alignment</w:t>
            </w:r>
          </w:p>
        </w:tc>
        <w:tc>
          <w:tcPr>
            <w:tcW w:w="2475" w:type="dxa"/>
            <w:tcBorders>
              <w:top w:val="nil"/>
              <w:left w:val="nil"/>
              <w:bottom w:val="nil"/>
              <w:right w:val="nil"/>
            </w:tcBorders>
          </w:tcPr>
          <w:p w14:paraId="53B53BF1" w14:textId="77777777" w:rsidR="00A42280" w:rsidRDefault="00000000">
            <w:pPr>
              <w:spacing w:line="276" w:lineRule="auto"/>
            </w:pPr>
            <w:r>
              <w:rPr>
                <w:rFonts w:ascii="Bookman Old Style" w:hAnsi="Bookman Old Style" w:cs="Bookman Old Style"/>
                <w:sz w:val="18"/>
              </w:rPr>
              <w:t>Teachers switched to Indonesian when encouraging hesitant students</w:t>
            </w:r>
          </w:p>
        </w:tc>
        <w:tc>
          <w:tcPr>
            <w:tcW w:w="2475" w:type="dxa"/>
            <w:tcBorders>
              <w:top w:val="nil"/>
              <w:left w:val="nil"/>
              <w:bottom w:val="nil"/>
              <w:right w:val="nil"/>
            </w:tcBorders>
          </w:tcPr>
          <w:p w14:paraId="6AC980C3" w14:textId="77777777" w:rsidR="00A42280" w:rsidRDefault="00000000">
            <w:pPr>
              <w:spacing w:line="276" w:lineRule="auto"/>
            </w:pPr>
            <w:r>
              <w:rPr>
                <w:rFonts w:ascii="Bookman Old Style" w:hAnsi="Bookman Old Style" w:cs="Bookman Old Style"/>
                <w:sz w:val="18"/>
              </w:rPr>
              <w:t>Shared language reduced anxiety</w:t>
            </w:r>
          </w:p>
        </w:tc>
      </w:tr>
      <w:tr w:rsidR="00A42280" w14:paraId="29952EA7" w14:textId="77777777">
        <w:trPr>
          <w:jc w:val="center"/>
        </w:trPr>
        <w:tc>
          <w:tcPr>
            <w:tcW w:w="2475" w:type="dxa"/>
            <w:tcBorders>
              <w:top w:val="nil"/>
              <w:left w:val="nil"/>
              <w:bottom w:val="single" w:sz="4" w:space="0" w:color="000000"/>
              <w:right w:val="nil"/>
            </w:tcBorders>
          </w:tcPr>
          <w:p w14:paraId="57FB5EE7" w14:textId="77777777" w:rsidR="00A42280" w:rsidRDefault="00000000">
            <w:pPr>
              <w:spacing w:line="276" w:lineRule="auto"/>
            </w:pPr>
            <w:r>
              <w:rPr>
                <w:rFonts w:ascii="Bookman Old Style" w:hAnsi="Bookman Old Style" w:cs="Bookman Old Style"/>
                <w:sz w:val="18"/>
              </w:rPr>
              <w:t>Topic framing</w:t>
            </w:r>
          </w:p>
        </w:tc>
        <w:tc>
          <w:tcPr>
            <w:tcW w:w="2475" w:type="dxa"/>
            <w:tcBorders>
              <w:top w:val="nil"/>
              <w:left w:val="nil"/>
              <w:bottom w:val="single" w:sz="4" w:space="0" w:color="000000"/>
              <w:right w:val="nil"/>
            </w:tcBorders>
          </w:tcPr>
          <w:p w14:paraId="6174A2ED" w14:textId="77777777" w:rsidR="00A42280" w:rsidRDefault="00000000">
            <w:pPr>
              <w:spacing w:line="276" w:lineRule="auto"/>
            </w:pPr>
            <w:r>
              <w:rPr>
                <w:rFonts w:ascii="Bookman Old Style" w:hAnsi="Bookman Old Style" w:cs="Bookman Old Style"/>
                <w:sz w:val="18"/>
              </w:rPr>
              <w:t>English was used for academic terms; Indonesian for explanation</w:t>
            </w:r>
          </w:p>
        </w:tc>
        <w:tc>
          <w:tcPr>
            <w:tcW w:w="2475" w:type="dxa"/>
            <w:tcBorders>
              <w:top w:val="nil"/>
              <w:left w:val="nil"/>
              <w:bottom w:val="single" w:sz="4" w:space="0" w:color="000000"/>
              <w:right w:val="nil"/>
            </w:tcBorders>
          </w:tcPr>
          <w:p w14:paraId="529B4439" w14:textId="77777777" w:rsidR="00A42280" w:rsidRDefault="00000000">
            <w:pPr>
              <w:spacing w:line="276" w:lineRule="auto"/>
            </w:pPr>
            <w:r>
              <w:rPr>
                <w:rFonts w:ascii="Bookman Old Style" w:hAnsi="Bookman Old Style" w:cs="Bookman Old Style"/>
                <w:sz w:val="18"/>
              </w:rPr>
              <w:t>Codes marked shifts between content and clarification</w:t>
            </w:r>
          </w:p>
        </w:tc>
      </w:tr>
    </w:tbl>
    <w:p w14:paraId="2E9C348B" w14:textId="77777777" w:rsidR="00A42280" w:rsidRDefault="00000000">
      <w:pPr>
        <w:spacing w:line="276" w:lineRule="auto"/>
      </w:pPr>
      <w:r>
        <w:rPr>
          <w:rFonts w:ascii="Bookman Old Style" w:hAnsi="Bookman Old Style" w:cs="Bookman Old Style"/>
          <w:i/>
          <w:sz w:val="20"/>
        </w:rPr>
        <w:t>Source: Synthesized from classroom observation and transcript analysis.</w:t>
      </w:r>
    </w:p>
    <w:p w14:paraId="03C1B5B2" w14:textId="77777777" w:rsidR="002439A4" w:rsidRDefault="002439A4">
      <w:pPr>
        <w:spacing w:line="276" w:lineRule="auto"/>
        <w:ind w:firstLine="720"/>
        <w:jc w:val="both"/>
        <w:rPr>
          <w:rFonts w:ascii="Bookman Old Style" w:hAnsi="Bookman Old Style" w:cs="Bookman Old Style"/>
          <w:sz w:val="22"/>
        </w:rPr>
      </w:pPr>
    </w:p>
    <w:p w14:paraId="39988227" w14:textId="2EC2D713" w:rsidR="00A42280" w:rsidRDefault="00000000">
      <w:pPr>
        <w:spacing w:line="276" w:lineRule="auto"/>
        <w:ind w:firstLine="720"/>
        <w:jc w:val="both"/>
      </w:pPr>
      <w:r>
        <w:rPr>
          <w:rFonts w:ascii="Bookman Old Style" w:hAnsi="Bookman Old Style" w:cs="Bookman Old Style"/>
          <w:sz w:val="22"/>
        </w:rPr>
        <w:t>These findings show code-switching was not random but reflected awareness of audience, task, topic, role, and emotional context, helping organize classroom meaning.</w:t>
      </w:r>
    </w:p>
    <w:p w14:paraId="2AC5DADA" w14:textId="77777777" w:rsidR="00A42280" w:rsidRDefault="00000000">
      <w:pPr>
        <w:keepNext/>
        <w:spacing w:before="200" w:line="276" w:lineRule="auto"/>
      </w:pPr>
      <w:r>
        <w:rPr>
          <w:rFonts w:ascii="Bookman Old Style" w:hAnsi="Bookman Old Style" w:cs="Bookman Old Style"/>
          <w:b/>
          <w:sz w:val="22"/>
        </w:rPr>
        <w:t>Teacher and Student Perceptions of Code-Switching</w:t>
      </w:r>
    </w:p>
    <w:p w14:paraId="03699805" w14:textId="77777777" w:rsidR="00A42280" w:rsidRDefault="00000000">
      <w:pPr>
        <w:spacing w:line="276" w:lineRule="auto"/>
        <w:ind w:firstLine="720"/>
        <w:jc w:val="both"/>
      </w:pPr>
      <w:r>
        <w:rPr>
          <w:rFonts w:ascii="Bookman Old Style" w:hAnsi="Bookman Old Style" w:cs="Bookman Old Style"/>
          <w:sz w:val="22"/>
        </w:rPr>
        <w:t>Teachers viewed code-switching as necessary but requiring control: English should remain the main target, with Indonesian useful for clarification and emotional support, though excessive switching risked reducing willingness to process English.</w:t>
      </w:r>
    </w:p>
    <w:p w14:paraId="04F99B7C" w14:textId="77777777" w:rsidR="00A42280" w:rsidRDefault="00000000">
      <w:pPr>
        <w:spacing w:line="276" w:lineRule="auto"/>
        <w:ind w:firstLine="720"/>
        <w:jc w:val="both"/>
      </w:pPr>
      <w:r>
        <w:rPr>
          <w:rFonts w:ascii="Bookman Old Style" w:hAnsi="Bookman Old Style" w:cs="Bookman Old Style"/>
          <w:sz w:val="22"/>
        </w:rPr>
        <w:t>Students generally perceived teacher code-switching positively, especially for vocabulary, grammar, and instructions; lower-proficiency students valued Indonesian for reduced anxiety, though some wanted English first with switching only when necessary.</w:t>
      </w:r>
    </w:p>
    <w:p w14:paraId="76CEA934" w14:textId="77777777" w:rsidR="00A42280" w:rsidRDefault="00000000">
      <w:pPr>
        <w:keepNext/>
        <w:spacing w:before="100" w:line="276" w:lineRule="auto"/>
      </w:pPr>
      <w:r>
        <w:rPr>
          <w:rFonts w:ascii="Bookman Old Style" w:hAnsi="Bookman Old Style" w:cs="Bookman Old Style"/>
          <w:sz w:val="22"/>
        </w:rPr>
        <w:lastRenderedPageBreak/>
        <w:t>Table 4. Teacher and Student Perceptions of Code-Switching</w:t>
      </w:r>
    </w:p>
    <w:tbl>
      <w:tblPr>
        <w:tblW w:w="0" w:type="auto"/>
        <w:jc w:val="center"/>
        <w:tblCellMar>
          <w:top w:w="20" w:type="dxa"/>
          <w:left w:w="80" w:type="dxa"/>
          <w:bottom w:w="20" w:type="dxa"/>
          <w:right w:w="80" w:type="dxa"/>
        </w:tblCellMar>
        <w:tblLook w:val="04A0" w:firstRow="1" w:lastRow="0" w:firstColumn="1" w:lastColumn="0" w:noHBand="0" w:noVBand="1"/>
      </w:tblPr>
      <w:tblGrid>
        <w:gridCol w:w="2411"/>
        <w:gridCol w:w="2430"/>
        <w:gridCol w:w="2415"/>
      </w:tblGrid>
      <w:tr w:rsidR="00A42280" w14:paraId="1DFE5821" w14:textId="77777777">
        <w:trPr>
          <w:jc w:val="center"/>
        </w:trPr>
        <w:tc>
          <w:tcPr>
            <w:tcW w:w="2475" w:type="dxa"/>
            <w:tcBorders>
              <w:top w:val="single" w:sz="4" w:space="0" w:color="000000"/>
              <w:left w:val="nil"/>
              <w:bottom w:val="single" w:sz="4" w:space="0" w:color="000000"/>
              <w:right w:val="nil"/>
            </w:tcBorders>
          </w:tcPr>
          <w:p w14:paraId="713E22D4" w14:textId="77777777" w:rsidR="00A42280" w:rsidRDefault="00000000">
            <w:pPr>
              <w:spacing w:line="276" w:lineRule="auto"/>
              <w:jc w:val="center"/>
            </w:pPr>
            <w:r>
              <w:rPr>
                <w:rFonts w:ascii="Bookman Old Style" w:hAnsi="Bookman Old Style" w:cs="Bookman Old Style"/>
                <w:b/>
                <w:sz w:val="18"/>
              </w:rPr>
              <w:t>Participant Group</w:t>
            </w:r>
          </w:p>
        </w:tc>
        <w:tc>
          <w:tcPr>
            <w:tcW w:w="2475" w:type="dxa"/>
            <w:tcBorders>
              <w:top w:val="single" w:sz="4" w:space="0" w:color="000000"/>
              <w:left w:val="nil"/>
              <w:bottom w:val="single" w:sz="4" w:space="0" w:color="000000"/>
              <w:right w:val="nil"/>
            </w:tcBorders>
          </w:tcPr>
          <w:p w14:paraId="77CB1147" w14:textId="77777777" w:rsidR="00A42280" w:rsidRDefault="00000000">
            <w:pPr>
              <w:spacing w:line="276" w:lineRule="auto"/>
              <w:jc w:val="center"/>
            </w:pPr>
            <w:r>
              <w:rPr>
                <w:rFonts w:ascii="Bookman Old Style" w:hAnsi="Bookman Old Style" w:cs="Bookman Old Style"/>
                <w:b/>
                <w:sz w:val="18"/>
              </w:rPr>
              <w:t>Positive Perception</w:t>
            </w:r>
          </w:p>
        </w:tc>
        <w:tc>
          <w:tcPr>
            <w:tcW w:w="2475" w:type="dxa"/>
            <w:tcBorders>
              <w:top w:val="single" w:sz="4" w:space="0" w:color="000000"/>
              <w:left w:val="nil"/>
              <w:bottom w:val="single" w:sz="4" w:space="0" w:color="000000"/>
              <w:right w:val="nil"/>
            </w:tcBorders>
          </w:tcPr>
          <w:p w14:paraId="4462D125" w14:textId="77777777" w:rsidR="00A42280" w:rsidRDefault="00000000">
            <w:pPr>
              <w:spacing w:line="276" w:lineRule="auto"/>
              <w:jc w:val="center"/>
            </w:pPr>
            <w:r>
              <w:rPr>
                <w:rFonts w:ascii="Bookman Old Style" w:hAnsi="Bookman Old Style" w:cs="Bookman Old Style"/>
                <w:b/>
                <w:sz w:val="18"/>
              </w:rPr>
              <w:t>Concern</w:t>
            </w:r>
          </w:p>
        </w:tc>
      </w:tr>
      <w:tr w:rsidR="00A42280" w14:paraId="22121243" w14:textId="77777777">
        <w:trPr>
          <w:jc w:val="center"/>
        </w:trPr>
        <w:tc>
          <w:tcPr>
            <w:tcW w:w="2475" w:type="dxa"/>
            <w:tcBorders>
              <w:top w:val="nil"/>
              <w:left w:val="nil"/>
              <w:bottom w:val="nil"/>
              <w:right w:val="nil"/>
            </w:tcBorders>
          </w:tcPr>
          <w:p w14:paraId="41879BBE" w14:textId="77777777" w:rsidR="00A42280" w:rsidRDefault="00000000">
            <w:pPr>
              <w:spacing w:line="276" w:lineRule="auto"/>
            </w:pPr>
            <w:r>
              <w:rPr>
                <w:rFonts w:ascii="Bookman Old Style" w:hAnsi="Bookman Old Style" w:cs="Bookman Old Style"/>
                <w:sz w:val="18"/>
              </w:rPr>
              <w:t>Teachers</w:t>
            </w:r>
          </w:p>
        </w:tc>
        <w:tc>
          <w:tcPr>
            <w:tcW w:w="2475" w:type="dxa"/>
            <w:tcBorders>
              <w:top w:val="nil"/>
              <w:left w:val="nil"/>
              <w:bottom w:val="nil"/>
              <w:right w:val="nil"/>
            </w:tcBorders>
          </w:tcPr>
          <w:p w14:paraId="0A6E92E1" w14:textId="77777777" w:rsidR="00A42280" w:rsidRDefault="00000000">
            <w:pPr>
              <w:spacing w:line="276" w:lineRule="auto"/>
            </w:pPr>
            <w:r>
              <w:rPr>
                <w:rFonts w:ascii="Bookman Old Style" w:hAnsi="Bookman Old Style" w:cs="Bookman Old Style"/>
                <w:sz w:val="18"/>
              </w:rPr>
              <w:t>Code-switching supports comprehension, classroom management, and rapport</w:t>
            </w:r>
          </w:p>
        </w:tc>
        <w:tc>
          <w:tcPr>
            <w:tcW w:w="2475" w:type="dxa"/>
            <w:tcBorders>
              <w:top w:val="nil"/>
              <w:left w:val="nil"/>
              <w:bottom w:val="nil"/>
              <w:right w:val="nil"/>
            </w:tcBorders>
          </w:tcPr>
          <w:p w14:paraId="4F0586D2" w14:textId="77777777" w:rsidR="00A42280" w:rsidRDefault="00000000">
            <w:pPr>
              <w:spacing w:line="276" w:lineRule="auto"/>
            </w:pPr>
            <w:r>
              <w:rPr>
                <w:rFonts w:ascii="Bookman Old Style" w:hAnsi="Bookman Old Style" w:cs="Bookman Old Style"/>
                <w:sz w:val="18"/>
              </w:rPr>
              <w:t>Excessive switching may reduce English exposure</w:t>
            </w:r>
          </w:p>
        </w:tc>
      </w:tr>
      <w:tr w:rsidR="00A42280" w14:paraId="1FBF47F0" w14:textId="77777777">
        <w:trPr>
          <w:jc w:val="center"/>
        </w:trPr>
        <w:tc>
          <w:tcPr>
            <w:tcW w:w="2475" w:type="dxa"/>
            <w:tcBorders>
              <w:top w:val="nil"/>
              <w:left w:val="nil"/>
              <w:bottom w:val="nil"/>
              <w:right w:val="nil"/>
            </w:tcBorders>
          </w:tcPr>
          <w:p w14:paraId="2A53645D" w14:textId="77777777" w:rsidR="00A42280" w:rsidRDefault="00000000">
            <w:pPr>
              <w:spacing w:line="276" w:lineRule="auto"/>
            </w:pPr>
            <w:r>
              <w:rPr>
                <w:rFonts w:ascii="Bookman Old Style" w:hAnsi="Bookman Old Style" w:cs="Bookman Old Style"/>
                <w:sz w:val="18"/>
              </w:rPr>
              <w:t>High-proficiency students</w:t>
            </w:r>
          </w:p>
        </w:tc>
        <w:tc>
          <w:tcPr>
            <w:tcW w:w="2475" w:type="dxa"/>
            <w:tcBorders>
              <w:top w:val="nil"/>
              <w:left w:val="nil"/>
              <w:bottom w:val="nil"/>
              <w:right w:val="nil"/>
            </w:tcBorders>
          </w:tcPr>
          <w:p w14:paraId="5C3E1D53" w14:textId="77777777" w:rsidR="00A42280" w:rsidRDefault="00000000">
            <w:pPr>
              <w:spacing w:line="276" w:lineRule="auto"/>
            </w:pPr>
            <w:r>
              <w:rPr>
                <w:rFonts w:ascii="Bookman Old Style" w:hAnsi="Bookman Old Style" w:cs="Bookman Old Style"/>
                <w:sz w:val="18"/>
              </w:rPr>
              <w:t>Code-switching clarifies complex ideas</w:t>
            </w:r>
          </w:p>
        </w:tc>
        <w:tc>
          <w:tcPr>
            <w:tcW w:w="2475" w:type="dxa"/>
            <w:tcBorders>
              <w:top w:val="nil"/>
              <w:left w:val="nil"/>
              <w:bottom w:val="nil"/>
              <w:right w:val="nil"/>
            </w:tcBorders>
          </w:tcPr>
          <w:p w14:paraId="55F7D550" w14:textId="77777777" w:rsidR="00A42280" w:rsidRDefault="00000000">
            <w:pPr>
              <w:spacing w:line="276" w:lineRule="auto"/>
            </w:pPr>
            <w:r>
              <w:rPr>
                <w:rFonts w:ascii="Bookman Old Style" w:hAnsi="Bookman Old Style" w:cs="Bookman Old Style"/>
                <w:sz w:val="18"/>
              </w:rPr>
              <w:t>Too much Indonesian may slow English development</w:t>
            </w:r>
          </w:p>
        </w:tc>
      </w:tr>
      <w:tr w:rsidR="00A42280" w14:paraId="1DC2EC41" w14:textId="77777777">
        <w:trPr>
          <w:jc w:val="center"/>
        </w:trPr>
        <w:tc>
          <w:tcPr>
            <w:tcW w:w="2475" w:type="dxa"/>
            <w:tcBorders>
              <w:top w:val="nil"/>
              <w:left w:val="nil"/>
              <w:bottom w:val="nil"/>
              <w:right w:val="nil"/>
            </w:tcBorders>
          </w:tcPr>
          <w:p w14:paraId="08378EEB" w14:textId="77777777" w:rsidR="00A42280" w:rsidRDefault="00000000">
            <w:pPr>
              <w:spacing w:line="276" w:lineRule="auto"/>
            </w:pPr>
            <w:r>
              <w:rPr>
                <w:rFonts w:ascii="Bookman Old Style" w:hAnsi="Bookman Old Style" w:cs="Bookman Old Style"/>
                <w:sz w:val="18"/>
              </w:rPr>
              <w:t>Moderate-proficiency students</w:t>
            </w:r>
          </w:p>
        </w:tc>
        <w:tc>
          <w:tcPr>
            <w:tcW w:w="2475" w:type="dxa"/>
            <w:tcBorders>
              <w:top w:val="nil"/>
              <w:left w:val="nil"/>
              <w:bottom w:val="nil"/>
              <w:right w:val="nil"/>
            </w:tcBorders>
          </w:tcPr>
          <w:p w14:paraId="567280D9" w14:textId="77777777" w:rsidR="00A42280" w:rsidRDefault="00000000">
            <w:pPr>
              <w:spacing w:line="276" w:lineRule="auto"/>
            </w:pPr>
            <w:r>
              <w:rPr>
                <w:rFonts w:ascii="Bookman Old Style" w:hAnsi="Bookman Old Style" w:cs="Bookman Old Style"/>
                <w:sz w:val="18"/>
              </w:rPr>
              <w:t>Code-switching helps them follow the lesson</w:t>
            </w:r>
          </w:p>
        </w:tc>
        <w:tc>
          <w:tcPr>
            <w:tcW w:w="2475" w:type="dxa"/>
            <w:tcBorders>
              <w:top w:val="nil"/>
              <w:left w:val="nil"/>
              <w:bottom w:val="nil"/>
              <w:right w:val="nil"/>
            </w:tcBorders>
          </w:tcPr>
          <w:p w14:paraId="01C5D682" w14:textId="77777777" w:rsidR="00A42280" w:rsidRDefault="00000000">
            <w:pPr>
              <w:spacing w:line="276" w:lineRule="auto"/>
            </w:pPr>
            <w:r>
              <w:rPr>
                <w:rFonts w:ascii="Bookman Old Style" w:hAnsi="Bookman Old Style" w:cs="Bookman Old Style"/>
                <w:sz w:val="18"/>
              </w:rPr>
              <w:t>They still need more English practice</w:t>
            </w:r>
          </w:p>
        </w:tc>
      </w:tr>
      <w:tr w:rsidR="00A42280" w14:paraId="40DFE9DF" w14:textId="77777777">
        <w:trPr>
          <w:jc w:val="center"/>
        </w:trPr>
        <w:tc>
          <w:tcPr>
            <w:tcW w:w="2475" w:type="dxa"/>
            <w:tcBorders>
              <w:top w:val="nil"/>
              <w:left w:val="nil"/>
              <w:bottom w:val="single" w:sz="4" w:space="0" w:color="000000"/>
              <w:right w:val="nil"/>
            </w:tcBorders>
          </w:tcPr>
          <w:p w14:paraId="59EE47D7" w14:textId="77777777" w:rsidR="00A42280" w:rsidRDefault="00000000">
            <w:pPr>
              <w:spacing w:line="276" w:lineRule="auto"/>
            </w:pPr>
            <w:r>
              <w:rPr>
                <w:rFonts w:ascii="Bookman Old Style" w:hAnsi="Bookman Old Style" w:cs="Bookman Old Style"/>
                <w:sz w:val="18"/>
              </w:rPr>
              <w:t>Low-proficiency students</w:t>
            </w:r>
          </w:p>
        </w:tc>
        <w:tc>
          <w:tcPr>
            <w:tcW w:w="2475" w:type="dxa"/>
            <w:tcBorders>
              <w:top w:val="nil"/>
              <w:left w:val="nil"/>
              <w:bottom w:val="single" w:sz="4" w:space="0" w:color="000000"/>
              <w:right w:val="nil"/>
            </w:tcBorders>
          </w:tcPr>
          <w:p w14:paraId="2546E5DD" w14:textId="77777777" w:rsidR="00A42280" w:rsidRDefault="00000000">
            <w:pPr>
              <w:spacing w:line="276" w:lineRule="auto"/>
            </w:pPr>
            <w:r>
              <w:rPr>
                <w:rFonts w:ascii="Bookman Old Style" w:hAnsi="Bookman Old Style" w:cs="Bookman Old Style"/>
                <w:sz w:val="18"/>
              </w:rPr>
              <w:t>Code-switching reduces anxiety and confusion</w:t>
            </w:r>
          </w:p>
        </w:tc>
        <w:tc>
          <w:tcPr>
            <w:tcW w:w="2475" w:type="dxa"/>
            <w:tcBorders>
              <w:top w:val="nil"/>
              <w:left w:val="nil"/>
              <w:bottom w:val="single" w:sz="4" w:space="0" w:color="000000"/>
              <w:right w:val="nil"/>
            </w:tcBorders>
          </w:tcPr>
          <w:p w14:paraId="2BED1233" w14:textId="77777777" w:rsidR="00A42280" w:rsidRDefault="00000000">
            <w:pPr>
              <w:spacing w:line="276" w:lineRule="auto"/>
            </w:pPr>
            <w:r>
              <w:rPr>
                <w:rFonts w:ascii="Bookman Old Style" w:hAnsi="Bookman Old Style" w:cs="Bookman Old Style"/>
                <w:sz w:val="18"/>
              </w:rPr>
              <w:t>They may become dependent on translation</w:t>
            </w:r>
          </w:p>
        </w:tc>
      </w:tr>
    </w:tbl>
    <w:p w14:paraId="6E182B2D" w14:textId="77777777" w:rsidR="00A42280" w:rsidRDefault="00000000">
      <w:pPr>
        <w:spacing w:line="276" w:lineRule="auto"/>
      </w:pPr>
      <w:r>
        <w:rPr>
          <w:rFonts w:ascii="Bookman Old Style" w:hAnsi="Bookman Old Style" w:cs="Bookman Old Style"/>
          <w:i/>
          <w:sz w:val="20"/>
        </w:rPr>
        <w:t>Source: Synthesized from teacher interviews and student focus group discussions.</w:t>
      </w:r>
    </w:p>
    <w:p w14:paraId="4E5B9626" w14:textId="77777777" w:rsidR="002439A4" w:rsidRDefault="002439A4">
      <w:pPr>
        <w:spacing w:line="276" w:lineRule="auto"/>
        <w:ind w:firstLine="720"/>
        <w:jc w:val="both"/>
        <w:rPr>
          <w:rFonts w:ascii="Bookman Old Style" w:hAnsi="Bookman Old Style" w:cs="Bookman Old Style"/>
          <w:sz w:val="22"/>
        </w:rPr>
      </w:pPr>
    </w:p>
    <w:p w14:paraId="303D52E9" w14:textId="39640D36" w:rsidR="00A42280" w:rsidRDefault="00000000">
      <w:pPr>
        <w:spacing w:line="276" w:lineRule="auto"/>
        <w:ind w:firstLine="720"/>
        <w:jc w:val="both"/>
      </w:pPr>
      <w:r>
        <w:rPr>
          <w:rFonts w:ascii="Bookman Old Style" w:hAnsi="Bookman Old Style" w:cs="Bookman Old Style"/>
          <w:sz w:val="22"/>
        </w:rPr>
        <w:t>Perception data suggest code-switching is most effective when strategic, limited, and tied to learning goals—students preferred English central with Indonesian as support.</w:t>
      </w:r>
    </w:p>
    <w:p w14:paraId="3BA28E56" w14:textId="77777777" w:rsidR="00A42280" w:rsidRDefault="00000000">
      <w:pPr>
        <w:keepNext/>
        <w:spacing w:before="200" w:line="276" w:lineRule="auto"/>
      </w:pPr>
      <w:r>
        <w:rPr>
          <w:rFonts w:ascii="Bookman Old Style" w:hAnsi="Bookman Old Style" w:cs="Bookman Old Style"/>
          <w:b/>
          <w:sz w:val="22"/>
        </w:rPr>
        <w:t>2. Discussion</w:t>
      </w:r>
    </w:p>
    <w:p w14:paraId="663B3CFA" w14:textId="77777777" w:rsidR="00A42280" w:rsidRDefault="00000000">
      <w:pPr>
        <w:spacing w:line="276" w:lineRule="auto"/>
        <w:ind w:firstLine="720"/>
        <w:jc w:val="both"/>
      </w:pPr>
      <w:r>
        <w:rPr>
          <w:rFonts w:ascii="Bookman Old Style" w:hAnsi="Bookman Old Style" w:cs="Bookman Old Style"/>
          <w:sz w:val="22"/>
        </w:rPr>
        <w:t>Code-switching here is a structured sociolinguistic practice, not random alternation: the three patterns show teachers and students used it in different positions for different purposes, supporting research that switching is orderly and tied to pedagogical focus (Lin, 2013; Üstünel &amp; Seedhouse, 2005).</w:t>
      </w:r>
    </w:p>
    <w:p w14:paraId="099F2475" w14:textId="77777777" w:rsidR="00A42280" w:rsidRDefault="00000000">
      <w:pPr>
        <w:spacing w:line="276" w:lineRule="auto"/>
        <w:ind w:firstLine="720"/>
        <w:jc w:val="both"/>
      </w:pPr>
      <w:r>
        <w:rPr>
          <w:rFonts w:ascii="Bookman Old Style" w:hAnsi="Bookman Old Style" w:cs="Bookman Old Style"/>
          <w:sz w:val="22"/>
        </w:rPr>
        <w:t>Inter-sentential switching was most frequent, used to clarify concepts and instructions—consistent with Üstünel and Seedhouse's view of switching as pedagogical-focus organization, functioning as an instructional repair mechanism.</w:t>
      </w:r>
    </w:p>
    <w:p w14:paraId="3946439E" w14:textId="77777777" w:rsidR="00A42280" w:rsidRDefault="00000000">
      <w:pPr>
        <w:spacing w:line="276" w:lineRule="auto"/>
        <w:ind w:firstLine="720"/>
        <w:jc w:val="both"/>
      </w:pPr>
      <w:r>
        <w:rPr>
          <w:rFonts w:ascii="Bookman Old Style" w:hAnsi="Bookman Old Style" w:cs="Bookman Old Style"/>
          <w:sz w:val="22"/>
        </w:rPr>
        <w:t>Intra-sentential switching showed blending of linguistic resources, retaining academic terms in English while explaining in Indonesian—reflecting bilingual discourse's hybrid nature rather than avoidance of English.</w:t>
      </w:r>
    </w:p>
    <w:p w14:paraId="579CD731" w14:textId="77777777" w:rsidR="00A42280" w:rsidRDefault="00000000">
      <w:pPr>
        <w:spacing w:line="276" w:lineRule="auto"/>
        <w:ind w:firstLine="720"/>
        <w:jc w:val="both"/>
      </w:pPr>
      <w:r>
        <w:rPr>
          <w:rFonts w:ascii="Bookman Old Style" w:hAnsi="Bookman Old Style" w:cs="Bookman Old Style"/>
          <w:sz w:val="22"/>
        </w:rPr>
        <w:t>Tag switching served discourse-management functions, maintaining interactional flow and checking attention as contextualization cues despite their minor appearance.</w:t>
      </w:r>
    </w:p>
    <w:p w14:paraId="36F867FD" w14:textId="77777777" w:rsidR="00A42280" w:rsidRDefault="00000000">
      <w:pPr>
        <w:spacing w:line="276" w:lineRule="auto"/>
        <w:ind w:firstLine="720"/>
        <w:jc w:val="both"/>
      </w:pPr>
      <w:r>
        <w:rPr>
          <w:rFonts w:ascii="Bookman Old Style" w:hAnsi="Bookman Old Style" w:cs="Bookman Old Style"/>
          <w:sz w:val="22"/>
        </w:rPr>
        <w:lastRenderedPageBreak/>
        <w:t>These functions align with prior research (Ferguson, 2003; Cahyani et al., 2018) on pedagogical and sociocultural functions of code-switching, extending it by showing how these appeared in secondary classrooms and how students interpreted them.</w:t>
      </w:r>
    </w:p>
    <w:p w14:paraId="72BA320B" w14:textId="77777777" w:rsidR="00A42280" w:rsidRDefault="00000000">
      <w:pPr>
        <w:spacing w:line="276" w:lineRule="auto"/>
        <w:ind w:firstLine="720"/>
        <w:jc w:val="both"/>
      </w:pPr>
      <w:r>
        <w:rPr>
          <w:rFonts w:ascii="Bookman Old Style" w:hAnsi="Bookman Old Style" w:cs="Bookman Old Style"/>
          <w:sz w:val="22"/>
        </w:rPr>
        <w:t>Content clarification and vocabulary explanation dominated since students needed support understanding English input—strategic switching can aid content access while developing competence, provided it doesn't become so frequent students stop inferring meaning.</w:t>
      </w:r>
    </w:p>
    <w:p w14:paraId="6C1EC7BB" w14:textId="77777777" w:rsidR="00A42280" w:rsidRDefault="00000000">
      <w:pPr>
        <w:spacing w:line="276" w:lineRule="auto"/>
        <w:ind w:firstLine="720"/>
        <w:jc w:val="both"/>
      </w:pPr>
      <w:r>
        <w:rPr>
          <w:rFonts w:ascii="Bookman Old Style" w:hAnsi="Bookman Old Style" w:cs="Bookman Old Style"/>
          <w:sz w:val="22"/>
        </w:rPr>
        <w:t>The sociolinguistic functions matter: students used code-switching to participate and perform bilingual identity, supporting a view of bilingual classrooms beyond monolingual ideology, consistent with Creese and Blackledge's (2010) translanguaging perspective.</w:t>
      </w:r>
    </w:p>
    <w:p w14:paraId="73E134CF" w14:textId="77777777" w:rsidR="00A42280" w:rsidRDefault="00000000">
      <w:pPr>
        <w:spacing w:line="276" w:lineRule="auto"/>
        <w:ind w:firstLine="720"/>
        <w:jc w:val="both"/>
      </w:pPr>
      <w:r>
        <w:rPr>
          <w:rFonts w:ascii="Bookman Old Style" w:hAnsi="Bookman Old Style" w:cs="Bookman Old Style"/>
          <w:sz w:val="22"/>
        </w:rPr>
        <w:t>Code-switching and translanguaging are not identical—the former treats languages as distinct codes, the latter as an integrated repertoire—though this study's interaction also showed flexible meaning-making resembling translanguaging, suggesting combined future analysis.</w:t>
      </w:r>
    </w:p>
    <w:p w14:paraId="21B3EE59" w14:textId="77777777" w:rsidR="00A42280" w:rsidRDefault="00000000">
      <w:pPr>
        <w:spacing w:line="276" w:lineRule="auto"/>
        <w:ind w:firstLine="720"/>
        <w:jc w:val="both"/>
      </w:pPr>
      <w:r>
        <w:rPr>
          <w:rFonts w:ascii="Bookman Old Style" w:hAnsi="Bookman Old Style" w:cs="Bookman Old Style"/>
          <w:sz w:val="22"/>
        </w:rPr>
        <w:t>Teacher control was key: strategic switching after first attempting English, for key clarification or managing difficulties, supported learning, while habitual unpurposeful switching could reduce English exposure, requiring teacher awareness of when to switch and return.</w:t>
      </w:r>
    </w:p>
    <w:p w14:paraId="0ECB9DA2" w14:textId="77777777" w:rsidR="00A42280" w:rsidRDefault="00000000">
      <w:pPr>
        <w:spacing w:line="276" w:lineRule="auto"/>
        <w:ind w:firstLine="720"/>
        <w:jc w:val="both"/>
      </w:pPr>
      <w:r>
        <w:rPr>
          <w:rFonts w:ascii="Bookman Old Style" w:hAnsi="Bookman Old Style" w:cs="Bookman Old Style"/>
          <w:sz w:val="22"/>
        </w:rPr>
        <w:t>Implications: code-switching should be a recognized classroom resource used for specific functions (clarification, scaffolding, affective support), balanced with sufficient target-language exposure, and neither banned nor left uncontrolled.</w:t>
      </w:r>
    </w:p>
    <w:p w14:paraId="346B0667" w14:textId="77777777" w:rsidR="00A42280" w:rsidRDefault="00000000">
      <w:pPr>
        <w:spacing w:line="276" w:lineRule="auto"/>
        <w:ind w:firstLine="720"/>
        <w:jc w:val="both"/>
      </w:pPr>
      <w:r>
        <w:rPr>
          <w:rFonts w:ascii="Bookman Old Style" w:hAnsi="Bookman Old Style" w:cs="Bookman Old Style"/>
          <w:sz w:val="22"/>
        </w:rPr>
        <w:t>For students, code-switching reduces anxiety and increases participation, especially for lower-proficiency learners, though teachers should gradually push toward more target-language use, treating it as a bridge rather than a destination.</w:t>
      </w:r>
    </w:p>
    <w:p w14:paraId="08E159E4" w14:textId="77777777" w:rsidR="00A42280" w:rsidRDefault="00000000">
      <w:pPr>
        <w:spacing w:line="276" w:lineRule="auto"/>
        <w:ind w:firstLine="720"/>
        <w:jc w:val="both"/>
      </w:pPr>
      <w:r>
        <w:rPr>
          <w:rFonts w:ascii="Bookman Old Style" w:hAnsi="Bookman Old Style" w:cs="Bookman Old Style"/>
          <w:sz w:val="22"/>
        </w:rPr>
        <w:t>Assessment should distinguish preparation and negotiation (where shared-language use is acceptable) from final language production, which may require more target-language use depending on objectives.</w:t>
      </w:r>
    </w:p>
    <w:p w14:paraId="48422358" w14:textId="77777777" w:rsidR="00A42280" w:rsidRDefault="00000000">
      <w:pPr>
        <w:spacing w:line="276" w:lineRule="auto"/>
        <w:ind w:firstLine="720"/>
        <w:jc w:val="both"/>
      </w:pPr>
      <w:r>
        <w:rPr>
          <w:rFonts w:ascii="Bookman Old Style" w:hAnsi="Bookman Old Style" w:cs="Bookman Old Style"/>
          <w:sz w:val="22"/>
        </w:rPr>
        <w:lastRenderedPageBreak/>
        <w:t>Overall, code-switching has pedagogical, interactional, and identity significance—a resource for organizing classroom meaning, where the key question is not whether it should exist but how it can be used responsibly.</w:t>
      </w:r>
    </w:p>
    <w:p w14:paraId="2C52C48E" w14:textId="77777777" w:rsidR="00A42280" w:rsidRDefault="00000000">
      <w:pPr>
        <w:pStyle w:val="DaftarParagraf"/>
        <w:keepNext/>
        <w:spacing w:before="200" w:after="0"/>
        <w:ind w:left="0"/>
        <w:jc w:val="both"/>
      </w:pPr>
      <w:r>
        <w:rPr>
          <w:rFonts w:ascii="Bookman Old Style" w:hAnsi="Bookman Old Style" w:cs="Bookman Old Style"/>
          <w:b/>
        </w:rPr>
        <w:t>D. Conclusion</w:t>
      </w:r>
    </w:p>
    <w:p w14:paraId="7E4B5067" w14:textId="77777777" w:rsidR="00A42280" w:rsidRDefault="00000000">
      <w:pPr>
        <w:spacing w:line="276" w:lineRule="auto"/>
        <w:ind w:firstLine="720"/>
        <w:jc w:val="both"/>
      </w:pPr>
      <w:r>
        <w:rPr>
          <w:rFonts w:ascii="Bookman Old Style" w:hAnsi="Bookman Old Style" w:cs="Bookman Old Style"/>
          <w:sz w:val="22"/>
        </w:rPr>
        <w:t>This study examined code-switching in bilingual classroom interaction sociolinguistically. It occurred in three patterns—inter-sentential (most frequent), intra-sentential, and tag switching—serving pedagogical functions (content, vocabulary, and grammar clarification, classroom management, comprehension checking, affective support) and sociolinguistic functions (identity, solidarity, role, and emotional negotiation). Teachers and students viewed it positively when it supported comprehension and participation, while noting the risk of excessive switching reducing exposure. Code-switching is a strategic bilingual practice, not a weakness, with effectiveness depending on purposeful use, pedagogical control, balanced exposure, and teacher awareness across school levels and subjects.</w:t>
      </w:r>
    </w:p>
    <w:p w14:paraId="2A5870F0" w14:textId="77777777" w:rsidR="00A42280" w:rsidRDefault="00000000">
      <w:pPr>
        <w:keepNext/>
        <w:spacing w:before="200" w:line="276" w:lineRule="auto"/>
      </w:pPr>
      <w:r>
        <w:rPr>
          <w:rFonts w:ascii="Bookman Old Style" w:hAnsi="Bookman Old Style" w:cs="Bookman Old Style"/>
          <w:b/>
          <w:sz w:val="22"/>
        </w:rPr>
        <w:t>Declaration of AI-Assisted Technologies</w:t>
      </w:r>
    </w:p>
    <w:p w14:paraId="1DF161DC" w14:textId="77777777" w:rsidR="00A42280" w:rsidRDefault="00000000">
      <w:pPr>
        <w:spacing w:line="276" w:lineRule="auto"/>
        <w:ind w:firstLine="720"/>
        <w:jc w:val="both"/>
      </w:pPr>
      <w:r>
        <w:rPr>
          <w:rFonts w:ascii="Bookman Old Style" w:hAnsi="Bookman Old Style" w:cs="Bookman Old Style"/>
          <w:sz w:val="22"/>
        </w:rPr>
        <w:t>In preparing this manuscript, the authors used AI-assisted tools only to improve English language quality, grammar, readability, sentence clarity, and academic expression. The AI tools were not used to generate research data, conduct data analysis, produce findings, or draw conclusions. All conceptual arguments, data interpretation, methodological decisions, and scholarly conclusions remain the full responsibility of the authors. The authors carefully reviewed, edited, and verified all AI-assisted outputs to ensure the accuracy, integrity, and originality of the final manuscript.</w:t>
      </w:r>
    </w:p>
    <w:p w14:paraId="5043F104" w14:textId="77777777" w:rsidR="00A42280" w:rsidRDefault="00000000">
      <w:pPr>
        <w:pStyle w:val="DaftarParagraf"/>
        <w:keepNext/>
        <w:spacing w:before="200" w:after="0"/>
        <w:ind w:left="0"/>
        <w:jc w:val="both"/>
      </w:pPr>
      <w:r>
        <w:rPr>
          <w:rFonts w:ascii="Bookman Old Style" w:hAnsi="Bookman Old Style" w:cs="Bookman Old Style"/>
          <w:b/>
        </w:rPr>
        <w:t>Bibliography</w:t>
      </w:r>
    </w:p>
    <w:p w14:paraId="5981F3DA" w14:textId="77777777" w:rsidR="00A42280" w:rsidRDefault="00000000">
      <w:pPr>
        <w:spacing w:after="240" w:line="276" w:lineRule="auto"/>
        <w:ind w:left="720" w:hanging="720"/>
        <w:jc w:val="both"/>
      </w:pPr>
      <w:r>
        <w:rPr>
          <w:rFonts w:ascii="Bookman Old Style" w:hAnsi="Bookman Old Style" w:cs="Bookman Old Style"/>
          <w:sz w:val="22"/>
        </w:rPr>
        <w:t>Auer, P. (1995). The pragmatics of code-switching: A sequential approach. In L. Milroy &amp; P. Muysken (Eds.), One speaker, two languages: Cross-disciplinary perspectives on code-switching (pp. 115-135). Cambridge: Cambridge University Press.</w:t>
      </w:r>
    </w:p>
    <w:p w14:paraId="6974E462" w14:textId="77777777" w:rsidR="00A42280" w:rsidRDefault="00000000">
      <w:pPr>
        <w:spacing w:after="240" w:line="276" w:lineRule="auto"/>
        <w:ind w:left="720" w:hanging="720"/>
        <w:jc w:val="both"/>
      </w:pPr>
      <w:r>
        <w:rPr>
          <w:rFonts w:ascii="Bookman Old Style" w:hAnsi="Bookman Old Style" w:cs="Bookman Old Style"/>
          <w:sz w:val="22"/>
        </w:rPr>
        <w:lastRenderedPageBreak/>
        <w:t>Bailey, B. (2000). Language and negotiation of ethnic/racial identity among Dominican Americans. Language in Society, 29(4), 555-582. https://doi.org/10.1017/S0047404500004036</w:t>
      </w:r>
    </w:p>
    <w:p w14:paraId="446A7CE9" w14:textId="77777777" w:rsidR="00A42280" w:rsidRDefault="00000000">
      <w:pPr>
        <w:spacing w:after="240" w:line="276" w:lineRule="auto"/>
        <w:ind w:left="720" w:hanging="720"/>
        <w:jc w:val="both"/>
      </w:pPr>
      <w:r>
        <w:rPr>
          <w:rFonts w:ascii="Bookman Old Style" w:hAnsi="Bookman Old Style" w:cs="Bookman Old Style"/>
          <w:sz w:val="22"/>
        </w:rPr>
        <w:t>Blom, J. P., &amp; Gumperz, J. J. (1972). Social meaning in linguistic structures: Code-switching in Norway. In J. J. Gumperz &amp; D. Hymes (Eds.), Directions in sociolinguistics: The ethnography of communication (pp. 407-434). New York: Holt, Rinehart and Winston.</w:t>
      </w:r>
    </w:p>
    <w:p w14:paraId="4446D368" w14:textId="77777777" w:rsidR="00A42280" w:rsidRDefault="00000000">
      <w:pPr>
        <w:spacing w:after="240" w:line="276" w:lineRule="auto"/>
        <w:ind w:left="720" w:hanging="720"/>
        <w:jc w:val="both"/>
      </w:pPr>
      <w:r>
        <w:rPr>
          <w:rFonts w:ascii="Bookman Old Style" w:hAnsi="Bookman Old Style" w:cs="Bookman Old Style"/>
          <w:sz w:val="22"/>
        </w:rPr>
        <w:t>Cahyani, H., de Courcy, M., &amp; Barnett, J. (2018). Teachers' code-switching in bilingual classrooms: Exploring pedagogical and sociocultural functions. International Journal of Bilingual Education and Bilingualism, 21(4), 465-479. https://doi.org/10.1080/13670050.2016.1189509</w:t>
      </w:r>
    </w:p>
    <w:p w14:paraId="6C2911AC" w14:textId="77777777" w:rsidR="00A42280" w:rsidRDefault="00000000">
      <w:pPr>
        <w:spacing w:after="240" w:line="276" w:lineRule="auto"/>
        <w:ind w:left="720" w:hanging="720"/>
        <w:jc w:val="both"/>
      </w:pPr>
      <w:r>
        <w:rPr>
          <w:rFonts w:ascii="Bookman Old Style" w:hAnsi="Bookman Old Style" w:cs="Bookman Old Style"/>
          <w:sz w:val="22"/>
        </w:rPr>
        <w:t>Canagarajah, S. (2011). Translanguaging in the classroom: Emerging issues for research and pedagogy. Applied Linguistics Review, 2(1), 1-28. https://doi.org/10.1515/9783110239331.1</w:t>
      </w:r>
    </w:p>
    <w:p w14:paraId="7E97EBF7" w14:textId="77777777" w:rsidR="00A42280" w:rsidRDefault="00000000">
      <w:pPr>
        <w:spacing w:after="240" w:line="276" w:lineRule="auto"/>
        <w:ind w:left="720" w:hanging="720"/>
        <w:jc w:val="both"/>
      </w:pPr>
      <w:r>
        <w:rPr>
          <w:rFonts w:ascii="Bookman Old Style" w:hAnsi="Bookman Old Style" w:cs="Bookman Old Style"/>
          <w:sz w:val="22"/>
        </w:rPr>
        <w:t>Creese, A., &amp; Blackledge, A. (2010). Translanguaging in the bilingual classroom: A pedagogy for learning and teaching? The Modern Language Journal, 94(1), 103-115. https://doi.org/10.1111/j.1540-4781.2009.00986.x</w:t>
      </w:r>
    </w:p>
    <w:p w14:paraId="254465EF" w14:textId="77777777" w:rsidR="00A42280" w:rsidRDefault="00000000">
      <w:pPr>
        <w:spacing w:after="240" w:line="276" w:lineRule="auto"/>
        <w:ind w:left="720" w:hanging="720"/>
        <w:jc w:val="both"/>
      </w:pPr>
      <w:r>
        <w:rPr>
          <w:rFonts w:ascii="Bookman Old Style" w:hAnsi="Bookman Old Style" w:cs="Bookman Old Style"/>
          <w:sz w:val="22"/>
        </w:rPr>
        <w:t>De la Campa, J. C., &amp; Nassaji, H. (2009). The amount, purpose, and reasons for using L1 in L2 classrooms. Foreign Language Annals, 42(4), 742-759. https://doi.org/10.1111/j.1944-9720.2009.01052.x</w:t>
      </w:r>
    </w:p>
    <w:p w14:paraId="4C073766" w14:textId="77777777" w:rsidR="00A42280" w:rsidRDefault="00000000">
      <w:pPr>
        <w:spacing w:after="240" w:line="276" w:lineRule="auto"/>
        <w:ind w:left="720" w:hanging="720"/>
        <w:jc w:val="both"/>
      </w:pPr>
      <w:r>
        <w:rPr>
          <w:rFonts w:ascii="Bookman Old Style" w:hAnsi="Bookman Old Style" w:cs="Bookman Old Style"/>
          <w:sz w:val="22"/>
        </w:rPr>
        <w:t>Duff, P. A., &amp; Polio, C. G. (1990). How much foreign language is there in the foreign language classroom? The Modern Language Journal, 74(2), 154-166. https://doi.org/10.1111/j.1540-4781.1990.tb02561.x</w:t>
      </w:r>
    </w:p>
    <w:p w14:paraId="4BE51906" w14:textId="77777777" w:rsidR="00A42280" w:rsidRDefault="00000000">
      <w:pPr>
        <w:spacing w:after="240" w:line="276" w:lineRule="auto"/>
        <w:ind w:left="720" w:hanging="720"/>
        <w:jc w:val="both"/>
      </w:pPr>
      <w:r>
        <w:rPr>
          <w:rFonts w:ascii="Bookman Old Style" w:hAnsi="Bookman Old Style" w:cs="Bookman Old Style"/>
          <w:sz w:val="22"/>
        </w:rPr>
        <w:lastRenderedPageBreak/>
        <w:t>Ferguson, G. (2003). Classroom code-switching in post-colonial contexts: Functions, attitudes and policies. AILA Review, 16(1), 38-51. https://doi.org/10.1075/aila.16.05fer</w:t>
      </w:r>
    </w:p>
    <w:p w14:paraId="2EFDD445" w14:textId="77777777" w:rsidR="00A42280" w:rsidRDefault="00000000">
      <w:pPr>
        <w:spacing w:after="240" w:line="276" w:lineRule="auto"/>
        <w:ind w:left="720" w:hanging="720"/>
        <w:jc w:val="both"/>
      </w:pPr>
      <w:r>
        <w:rPr>
          <w:rFonts w:ascii="Bookman Old Style" w:hAnsi="Bookman Old Style" w:cs="Bookman Old Style"/>
          <w:sz w:val="22"/>
        </w:rPr>
        <w:t>Forman, R. (2012). Six functions of bilingual EFL teacher talk: Animating, translating, explaining, creating, prompting and dialoguing. RELC Journal, 43(2), 239-253. https://doi.org/10.1177/0033688212451440</w:t>
      </w:r>
    </w:p>
    <w:p w14:paraId="5AC533C8" w14:textId="77777777" w:rsidR="00A42280" w:rsidRDefault="00000000">
      <w:pPr>
        <w:spacing w:after="240" w:line="276" w:lineRule="auto"/>
        <w:ind w:left="720" w:hanging="720"/>
        <w:jc w:val="both"/>
      </w:pPr>
      <w:r>
        <w:rPr>
          <w:rFonts w:ascii="Bookman Old Style" w:hAnsi="Bookman Old Style" w:cs="Bookman Old Style"/>
          <w:sz w:val="22"/>
        </w:rPr>
        <w:t>Garcia, O., &amp; Wei, L. (2014). Translanguaging: Language, bilingualism and education. London: Palgrave Macmillan.</w:t>
      </w:r>
    </w:p>
    <w:p w14:paraId="5A605BE4" w14:textId="77777777" w:rsidR="00A42280" w:rsidRDefault="00000000">
      <w:pPr>
        <w:spacing w:after="240" w:line="276" w:lineRule="auto"/>
        <w:ind w:left="720" w:hanging="720"/>
        <w:jc w:val="both"/>
      </w:pPr>
      <w:r>
        <w:rPr>
          <w:rFonts w:ascii="Bookman Old Style" w:hAnsi="Bookman Old Style" w:cs="Bookman Old Style"/>
          <w:sz w:val="22"/>
        </w:rPr>
        <w:t>Gumperz, J. J. (1982). Discourse strategies. Cambridge: Cambridge University Press.</w:t>
      </w:r>
    </w:p>
    <w:p w14:paraId="3DB22AAC" w14:textId="77777777" w:rsidR="00A42280" w:rsidRDefault="00000000">
      <w:pPr>
        <w:spacing w:after="240" w:line="276" w:lineRule="auto"/>
        <w:ind w:left="720" w:hanging="720"/>
        <w:jc w:val="both"/>
      </w:pPr>
      <w:r>
        <w:rPr>
          <w:rFonts w:ascii="Bookman Old Style" w:hAnsi="Bookman Old Style" w:cs="Bookman Old Style"/>
          <w:sz w:val="22"/>
        </w:rPr>
        <w:t>Hobbs, V., Matsuo, A., &amp; Payne, M. (2010). Code-switching in Japanese language classrooms: An exploratory investigation of native vs. non-native speaker teacher practice. Linguistics and Education, 21(1), 44-59. https://doi.org/10.1016/j.linged.2009.12.004</w:t>
      </w:r>
    </w:p>
    <w:p w14:paraId="771BD116" w14:textId="77777777" w:rsidR="00A42280" w:rsidRDefault="00000000">
      <w:pPr>
        <w:spacing w:after="240" w:line="276" w:lineRule="auto"/>
        <w:ind w:left="720" w:hanging="720"/>
        <w:jc w:val="both"/>
      </w:pPr>
      <w:r>
        <w:rPr>
          <w:rFonts w:ascii="Bookman Old Style" w:hAnsi="Bookman Old Style" w:cs="Bookman Old Style"/>
          <w:sz w:val="22"/>
        </w:rPr>
        <w:t>Horasan, S. (2014). Code-switching in EFL classrooms and the perceptions of the students and teachers. Journal of Language and Linguistic Studies, 10(1), 31-45.</w:t>
      </w:r>
    </w:p>
    <w:p w14:paraId="01313993" w14:textId="77777777" w:rsidR="00A42280" w:rsidRDefault="00000000">
      <w:pPr>
        <w:spacing w:after="240" w:line="276" w:lineRule="auto"/>
        <w:ind w:left="720" w:hanging="720"/>
        <w:jc w:val="both"/>
      </w:pPr>
      <w:r>
        <w:rPr>
          <w:rFonts w:ascii="Bookman Old Style" w:hAnsi="Bookman Old Style" w:cs="Bookman Old Style"/>
          <w:sz w:val="22"/>
        </w:rPr>
        <w:t>Kim, S. H. O., &amp; Elder, C. (2005). Language choices and pedagogic functions in the foreign language classroom: A cross-linguistic functional analysis of teacher talk. Language Teaching Research, 9(4), 355-380. https://doi.org/10.1191/1362168805lr173oa</w:t>
      </w:r>
    </w:p>
    <w:p w14:paraId="587A6430" w14:textId="77777777" w:rsidR="00A42280" w:rsidRDefault="00000000">
      <w:pPr>
        <w:spacing w:after="240" w:line="276" w:lineRule="auto"/>
        <w:ind w:left="720" w:hanging="720"/>
        <w:jc w:val="both"/>
      </w:pPr>
      <w:r>
        <w:rPr>
          <w:rFonts w:ascii="Bookman Old Style" w:hAnsi="Bookman Old Style" w:cs="Bookman Old Style"/>
          <w:sz w:val="22"/>
        </w:rPr>
        <w:t>Liebscher, G., &amp; Dailey-O'Cain, J. (2005). Learner code-switching in the content-based foreign language classroom. The Modern Language Journal, 89(2), 234-247. https://doi.org/10.1111/j.1540-4781.2005.00277.x</w:t>
      </w:r>
    </w:p>
    <w:p w14:paraId="6A627095" w14:textId="77777777" w:rsidR="00A42280" w:rsidRDefault="00000000">
      <w:pPr>
        <w:spacing w:after="240" w:line="276" w:lineRule="auto"/>
        <w:ind w:left="720" w:hanging="720"/>
        <w:jc w:val="both"/>
      </w:pPr>
      <w:r>
        <w:rPr>
          <w:rFonts w:ascii="Bookman Old Style" w:hAnsi="Bookman Old Style" w:cs="Bookman Old Style"/>
          <w:sz w:val="22"/>
        </w:rPr>
        <w:t xml:space="preserve">Lin, A. M. Y. (1996). Bilingualism or linguistic segregation? Symbolic domination, resistance and code switching in Hong Kong </w:t>
      </w:r>
      <w:r>
        <w:rPr>
          <w:rFonts w:ascii="Bookman Old Style" w:hAnsi="Bookman Old Style" w:cs="Bookman Old Style"/>
          <w:sz w:val="22"/>
        </w:rPr>
        <w:lastRenderedPageBreak/>
        <w:t>schools. Linguistics and Education, 8(1), 49-84. https://doi.org/10.1016/S0898-5898(96)90006-6</w:t>
      </w:r>
    </w:p>
    <w:p w14:paraId="5D86060E" w14:textId="77777777" w:rsidR="00A42280" w:rsidRDefault="00000000">
      <w:pPr>
        <w:spacing w:after="240" w:line="276" w:lineRule="auto"/>
        <w:ind w:left="720" w:hanging="720"/>
        <w:jc w:val="both"/>
      </w:pPr>
      <w:r>
        <w:rPr>
          <w:rFonts w:ascii="Bookman Old Style" w:hAnsi="Bookman Old Style" w:cs="Bookman Old Style"/>
          <w:sz w:val="22"/>
        </w:rPr>
        <w:t>Lin, A. M. Y. (2013). Classroom code-switching: Three decades of research. Applied Linguistics Review, 4(1), 195-218. https://doi.org/10.1515/applirev-2013-0009</w:t>
      </w:r>
    </w:p>
    <w:p w14:paraId="79A31F93" w14:textId="77777777" w:rsidR="00A42280" w:rsidRDefault="00000000">
      <w:pPr>
        <w:spacing w:after="240" w:line="276" w:lineRule="auto"/>
        <w:ind w:left="720" w:hanging="720"/>
        <w:jc w:val="both"/>
      </w:pPr>
      <w:r>
        <w:rPr>
          <w:rFonts w:ascii="Bookman Old Style" w:hAnsi="Bookman Old Style" w:cs="Bookman Old Style"/>
          <w:sz w:val="22"/>
        </w:rPr>
        <w:t>Macaro, E. (2001). Analysing student teachers' codeswitching in foreign language classrooms: Theories and decision making. The Modern Language Journal, 85(4), 531-548. https://doi.org/10.1111/0026-7902.00124</w:t>
      </w:r>
    </w:p>
    <w:p w14:paraId="01FF381A" w14:textId="77777777" w:rsidR="00A42280" w:rsidRDefault="00000000">
      <w:pPr>
        <w:spacing w:after="240" w:line="276" w:lineRule="auto"/>
        <w:ind w:left="720" w:hanging="720"/>
        <w:jc w:val="both"/>
      </w:pPr>
      <w:r>
        <w:rPr>
          <w:rFonts w:ascii="Bookman Old Style" w:hAnsi="Bookman Old Style" w:cs="Bookman Old Style"/>
          <w:sz w:val="22"/>
        </w:rPr>
        <w:t>Macaro, E. (2005). Codeswitching in the L2 classroom: A communication and learning strategy. In E. Llurda (Ed.), Non-native language teachers: Perceptions, challenges and contributions to the profession (pp. 63-84). Boston: Springer.</w:t>
      </w:r>
    </w:p>
    <w:p w14:paraId="3717EDED" w14:textId="77777777" w:rsidR="00A42280" w:rsidRDefault="00000000">
      <w:pPr>
        <w:spacing w:after="240" w:line="276" w:lineRule="auto"/>
        <w:ind w:left="720" w:hanging="720"/>
        <w:jc w:val="both"/>
      </w:pPr>
      <w:r>
        <w:rPr>
          <w:rFonts w:ascii="Bookman Old Style" w:hAnsi="Bookman Old Style" w:cs="Bookman Old Style"/>
          <w:sz w:val="22"/>
        </w:rPr>
        <w:t>Martin-Jones, M. (2000). Bilingual classroom interaction: A review of recent research. Language Teaching, 33(1), 1-9. https://doi.org/10.1017/S0261444800015121</w:t>
      </w:r>
    </w:p>
    <w:p w14:paraId="2C0F6495" w14:textId="77777777" w:rsidR="00A42280" w:rsidRDefault="00000000">
      <w:pPr>
        <w:spacing w:after="240" w:line="276" w:lineRule="auto"/>
        <w:ind w:left="720" w:hanging="720"/>
        <w:jc w:val="both"/>
      </w:pPr>
      <w:r>
        <w:rPr>
          <w:rFonts w:ascii="Bookman Old Style" w:hAnsi="Bookman Old Style" w:cs="Bookman Old Style"/>
          <w:sz w:val="22"/>
        </w:rPr>
        <w:t>Moodley, V. (2007). Code-switching in the multilingual English first language classroom. International Journal of Bilingual Education and Bilingualism, 10(6), 707-722. https://doi.org/10.2167/beb403.0</w:t>
      </w:r>
    </w:p>
    <w:p w14:paraId="65927D8C" w14:textId="77777777" w:rsidR="00A42280" w:rsidRDefault="00000000">
      <w:pPr>
        <w:spacing w:after="240" w:line="276" w:lineRule="auto"/>
        <w:ind w:left="720" w:hanging="720"/>
        <w:jc w:val="both"/>
      </w:pPr>
      <w:r>
        <w:rPr>
          <w:rFonts w:ascii="Bookman Old Style" w:hAnsi="Bookman Old Style" w:cs="Bookman Old Style"/>
          <w:sz w:val="22"/>
        </w:rPr>
        <w:t>Moore, D. (2002). Code-switching and learning in the classroom. International Journal of Bilingual Education and Bilingualism, 5(5), 279-293. https://doi.org/10.1080/13670050208667762</w:t>
      </w:r>
    </w:p>
    <w:p w14:paraId="3FE74065" w14:textId="77777777" w:rsidR="00A42280" w:rsidRDefault="00000000">
      <w:pPr>
        <w:spacing w:after="240" w:line="276" w:lineRule="auto"/>
        <w:ind w:left="720" w:hanging="720"/>
        <w:jc w:val="both"/>
      </w:pPr>
      <w:r>
        <w:rPr>
          <w:rFonts w:ascii="Bookman Old Style" w:hAnsi="Bookman Old Style" w:cs="Bookman Old Style"/>
          <w:sz w:val="22"/>
        </w:rPr>
        <w:t>Myers-Scotton, C. (1993). Social motivations for code-switching: Evidence from Africa. Oxford: Oxford University Press.</w:t>
      </w:r>
    </w:p>
    <w:p w14:paraId="259E490C" w14:textId="77777777" w:rsidR="00A42280" w:rsidRDefault="00000000">
      <w:pPr>
        <w:spacing w:after="240" w:line="276" w:lineRule="auto"/>
        <w:ind w:left="720" w:hanging="720"/>
        <w:jc w:val="both"/>
      </w:pPr>
      <w:r>
        <w:rPr>
          <w:rFonts w:ascii="Bookman Old Style" w:hAnsi="Bookman Old Style" w:cs="Bookman Old Style"/>
          <w:sz w:val="22"/>
        </w:rPr>
        <w:t xml:space="preserve">Paramesvaran, M. D., &amp; Lim, J. W. (2018). Code-switching practices in a Malaysian multilingual primary classroom from teacher and student perspectives. Indonesian Journal of Applied </w:t>
      </w:r>
      <w:r>
        <w:rPr>
          <w:rFonts w:ascii="Bookman Old Style" w:hAnsi="Bookman Old Style" w:cs="Bookman Old Style"/>
          <w:sz w:val="22"/>
        </w:rPr>
        <w:lastRenderedPageBreak/>
        <w:t>Linguistics, 8(2), 254-264. https://doi.org/10.17509/ijal.v8i2.13273</w:t>
      </w:r>
    </w:p>
    <w:p w14:paraId="4465097B" w14:textId="77777777" w:rsidR="00A42280" w:rsidRDefault="00000000">
      <w:pPr>
        <w:spacing w:after="240" w:line="276" w:lineRule="auto"/>
        <w:ind w:left="720" w:hanging="720"/>
        <w:jc w:val="both"/>
      </w:pPr>
      <w:r>
        <w:rPr>
          <w:rFonts w:ascii="Bookman Old Style" w:hAnsi="Bookman Old Style" w:cs="Bookman Old Style"/>
          <w:sz w:val="22"/>
        </w:rPr>
        <w:t>Polio, C. G., &amp; Duff, P. A. (1994). Teachers' language use in university foreign language classrooms: A qualitative analysis. The Modern Language Journal, 78(3), 313-326. https://doi.org/10.1111/j.1540-4781.1994.tb02045.x</w:t>
      </w:r>
    </w:p>
    <w:p w14:paraId="73298F65" w14:textId="77777777" w:rsidR="00A42280" w:rsidRDefault="00000000">
      <w:pPr>
        <w:spacing w:after="240" w:line="276" w:lineRule="auto"/>
        <w:ind w:left="720" w:hanging="720"/>
        <w:jc w:val="both"/>
      </w:pPr>
      <w:r>
        <w:rPr>
          <w:rFonts w:ascii="Bookman Old Style" w:hAnsi="Bookman Old Style" w:cs="Bookman Old Style"/>
          <w:sz w:val="22"/>
        </w:rPr>
        <w:t>Poplack, S. (1980). Sometimes I'll start a sentence in Spanish y termino en español: Toward a typology of code-switching. Linguistics, 18(7-8), 581-618. https://doi.org/10.1515/ling.1980.18.7-8.581</w:t>
      </w:r>
    </w:p>
    <w:p w14:paraId="1C6EFC1F" w14:textId="77777777" w:rsidR="00A42280" w:rsidRDefault="00000000">
      <w:pPr>
        <w:spacing w:after="240" w:line="276" w:lineRule="auto"/>
        <w:ind w:left="720" w:hanging="720"/>
        <w:jc w:val="both"/>
      </w:pPr>
      <w:r>
        <w:rPr>
          <w:rFonts w:ascii="Bookman Old Style" w:hAnsi="Bookman Old Style" w:cs="Bookman Old Style"/>
          <w:sz w:val="22"/>
        </w:rPr>
        <w:t>Probyn, M. (2009). Smuggling the vernacular into the classroom: Conflicts and tensions in classroom code-switching in township/rural schools in South Africa. International Journal of Bilingual Education and Bilingualism, 12(2), 123-136. https://doi.org/10.1080/13670050802153137</w:t>
      </w:r>
    </w:p>
    <w:p w14:paraId="68CAF06D" w14:textId="77777777" w:rsidR="00A42280" w:rsidRDefault="00000000">
      <w:pPr>
        <w:spacing w:after="240" w:line="276" w:lineRule="auto"/>
        <w:ind w:left="720" w:hanging="720"/>
        <w:jc w:val="both"/>
      </w:pPr>
      <w:r>
        <w:rPr>
          <w:rFonts w:ascii="Bookman Old Style" w:hAnsi="Bookman Old Style" w:cs="Bookman Old Style"/>
          <w:sz w:val="22"/>
        </w:rPr>
        <w:t>Raschka, C., Sercombe, P., &amp; Chi-Ling, H. (2009). Conflicts and tensions in code-switching in a Taiwanese EFL classroom. International Journal of Bilingual Education and Bilingualism, 12(2), 157-171. https://doi.org/10.1080/13670050802153152</w:t>
      </w:r>
    </w:p>
    <w:p w14:paraId="4C766428" w14:textId="77777777" w:rsidR="00A42280" w:rsidRDefault="00000000">
      <w:pPr>
        <w:spacing w:after="240" w:line="276" w:lineRule="auto"/>
        <w:ind w:left="720" w:hanging="720"/>
        <w:jc w:val="both"/>
      </w:pPr>
      <w:r>
        <w:rPr>
          <w:rFonts w:ascii="Bookman Old Style" w:hAnsi="Bookman Old Style" w:cs="Bookman Old Style"/>
          <w:sz w:val="22"/>
        </w:rPr>
        <w:t>Rolin-Ianziti, J., &amp; Brownlie, S. (2002). Teacher use of learners' native language in the foreign language classroom. Canadian Modern Language Review, 58(3), 402-426. https://doi.org/10.3138/cmlr.58.3.402</w:t>
      </w:r>
    </w:p>
    <w:p w14:paraId="74ED3535" w14:textId="77777777" w:rsidR="00A42280" w:rsidRDefault="00000000">
      <w:pPr>
        <w:spacing w:after="240" w:line="276" w:lineRule="auto"/>
        <w:ind w:left="720" w:hanging="720"/>
        <w:jc w:val="both"/>
      </w:pPr>
      <w:r>
        <w:rPr>
          <w:rFonts w:ascii="Bookman Old Style" w:hAnsi="Bookman Old Style" w:cs="Bookman Old Style"/>
          <w:sz w:val="22"/>
        </w:rPr>
        <w:t>Then, D. C. O., &amp; Ting, S. H. (2011). Code-switching in English and science classrooms: More than translation. International Journal of Multilingualism, 8(4), 299-323. https://doi.org/10.1080/14790718.2011.577777</w:t>
      </w:r>
    </w:p>
    <w:p w14:paraId="4B1F3AEC" w14:textId="77777777" w:rsidR="00A42280" w:rsidRDefault="00000000">
      <w:pPr>
        <w:spacing w:after="240" w:line="276" w:lineRule="auto"/>
        <w:ind w:left="720" w:hanging="720"/>
        <w:jc w:val="both"/>
      </w:pPr>
      <w:r>
        <w:rPr>
          <w:rFonts w:ascii="Bookman Old Style" w:hAnsi="Bookman Old Style" w:cs="Bookman Old Style"/>
          <w:sz w:val="22"/>
        </w:rPr>
        <w:t xml:space="preserve">Tian, L., &amp; Macaro, E. (2012). Comparing the effect of teacher codeswitching with English-only explanations on the vocabulary acquisition of Chinese university students: A </w:t>
      </w:r>
      <w:r>
        <w:rPr>
          <w:rFonts w:ascii="Bookman Old Style" w:hAnsi="Bookman Old Style" w:cs="Bookman Old Style"/>
          <w:sz w:val="22"/>
        </w:rPr>
        <w:lastRenderedPageBreak/>
        <w:t>lexical focus-on-form study. Language Teaching Research, 16(3), 367-391. https://doi.org/10.1177/1362168812436909</w:t>
      </w:r>
    </w:p>
    <w:p w14:paraId="08245591" w14:textId="77777777" w:rsidR="00A42280" w:rsidRDefault="00000000">
      <w:pPr>
        <w:spacing w:after="240" w:line="276" w:lineRule="auto"/>
        <w:ind w:left="720" w:hanging="720"/>
        <w:jc w:val="both"/>
      </w:pPr>
      <w:r>
        <w:rPr>
          <w:rFonts w:ascii="Bookman Old Style" w:hAnsi="Bookman Old Style" w:cs="Bookman Old Style"/>
          <w:sz w:val="22"/>
        </w:rPr>
        <w:t>Turnbull, M., &amp; Arnett, K. (2002). Teachers' uses of the target and first languages in second and foreign language classrooms. Annual Review of Applied Linguistics, 22, 204-218. https://doi.org/10.1017/S0267190502000119</w:t>
      </w:r>
    </w:p>
    <w:p w14:paraId="74F34961" w14:textId="77777777" w:rsidR="00A42280" w:rsidRDefault="00000000">
      <w:pPr>
        <w:spacing w:after="240" w:line="276" w:lineRule="auto"/>
        <w:ind w:left="720" w:hanging="720"/>
        <w:jc w:val="both"/>
      </w:pPr>
      <w:r>
        <w:rPr>
          <w:rFonts w:ascii="Bookman Old Style" w:hAnsi="Bookman Old Style" w:cs="Bookman Old Style"/>
          <w:sz w:val="22"/>
        </w:rPr>
        <w:t>Üstünel, E., &amp; Seedhouse, P. (2005). Why that, in that language, right now? Code-switching and pedagogical focus. International Journal of Applied Linguistics, 15(3), 302-325. https://doi.org/10.1111/j.1473-4192.2005.00093.x</w:t>
      </w:r>
    </w:p>
    <w:sectPr w:rsidR="00A42280">
      <w:headerReference w:type="default" r:id="rId7"/>
      <w:footerReference w:type="even" r:id="rId8"/>
      <w:footerReference w:type="default" r:id="rId9"/>
      <w:headerReference w:type="first" r:id="rId10"/>
      <w:footerReference w:type="first" r:id="rId11"/>
      <w:pgSz w:w="10318" w:h="14570"/>
      <w:pgMar w:top="2041" w:right="1418" w:bottom="1588" w:left="1474" w:header="1134" w:footer="1134" w:gutter="170"/>
      <w:pgNumType w:start="396"/>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73B277" w14:textId="77777777" w:rsidR="00835E3E" w:rsidRDefault="00835E3E">
      <w:r>
        <w:separator/>
      </w:r>
    </w:p>
  </w:endnote>
  <w:endnote w:type="continuationSeparator" w:id="0">
    <w:p w14:paraId="6B33FE74" w14:textId="77777777" w:rsidR="00835E3E" w:rsidRDefault="00835E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B0604020202020204"/>
    <w:charset w:val="01"/>
    <w:family w:val="roman"/>
    <w:pitch w:val="variable"/>
  </w:font>
  <w:font w:name="Noto Serif CJK SC">
    <w:panose1 w:val="020B0604020202020204"/>
    <w:charset w:val="00"/>
    <w:family w:val="roman"/>
    <w:pitch w:val="default"/>
  </w:font>
  <w:font w:name="DejaVu Sans">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B4359F" w14:textId="77777777" w:rsidR="00A42280"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397</w:t>
    </w:r>
    <w:r>
      <w:rPr>
        <w:rFonts w:ascii="Bookman Old Style" w:hAnsi="Bookman Old Style" w:cs="Bookman Old Style"/>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4026A0" w14:textId="77777777" w:rsidR="00A42280"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396</w:t>
    </w:r>
    <w:r>
      <w:rPr>
        <w:rFonts w:ascii="Bookman Old Style" w:hAnsi="Bookman Old Style" w:cs="Bookman Old Style"/>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E986E6" w14:textId="77777777" w:rsidR="00A42280" w:rsidRDefault="00000000">
    <w:pPr>
      <w:jc w:val="center"/>
    </w:pPr>
    <w:r>
      <w:rPr>
        <w:rFonts w:ascii="Bookman Old Style" w:hAnsi="Bookman Old Style" w:cs="Bookman Old Style"/>
        <w:sz w:val="20"/>
      </w:rPr>
      <w:fldChar w:fldCharType="begin"/>
    </w:r>
    <w:r>
      <w:rPr>
        <w:rFonts w:ascii="Bookman Old Style" w:hAnsi="Bookman Old Style" w:cs="Bookman Old Style"/>
        <w:sz w:val="20"/>
      </w:rPr>
      <w:instrText xml:space="preserve"> PAGE </w:instrText>
    </w:r>
    <w:r>
      <w:rPr>
        <w:rFonts w:ascii="Bookman Old Style" w:hAnsi="Bookman Old Style" w:cs="Bookman Old Style"/>
        <w:sz w:val="20"/>
      </w:rPr>
      <w:fldChar w:fldCharType="separate"/>
    </w:r>
    <w:r>
      <w:rPr>
        <w:rFonts w:ascii="Bookman Old Style" w:hAnsi="Bookman Old Style" w:cs="Bookman Old Style"/>
        <w:sz w:val="20"/>
      </w:rPr>
      <w:t>396</w:t>
    </w:r>
    <w:r>
      <w:rPr>
        <w:rFonts w:ascii="Bookman Old Style" w:hAnsi="Bookman Old Style" w:cs="Bookman Old Style"/>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42AF1AF" w14:textId="77777777" w:rsidR="00835E3E" w:rsidRDefault="00835E3E">
      <w:r>
        <w:separator/>
      </w:r>
    </w:p>
  </w:footnote>
  <w:footnote w:type="continuationSeparator" w:id="0">
    <w:p w14:paraId="3A7D79F2" w14:textId="77777777" w:rsidR="00835E3E" w:rsidRDefault="00835E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24AF54" w14:textId="77777777" w:rsidR="00A42280" w:rsidRDefault="00000000">
    <w:pPr>
      <w:pStyle w:val="Header"/>
      <w:tabs>
        <w:tab w:val="clear" w:pos="4320"/>
        <w:tab w:val="clear" w:pos="8640"/>
      </w:tabs>
      <w:spacing w:before="120" w:after="60"/>
      <w:ind w:right="51"/>
      <w:jc w:val="center"/>
      <w:rPr>
        <w:rFonts w:ascii="Book Antiqua" w:hAnsi="Book Antiqua" w:cs="Book Antiqua"/>
        <w:i/>
        <w:iCs/>
        <w:sz w:val="18"/>
        <w:szCs w:val="18"/>
      </w:rPr>
    </w:pPr>
    <w:r>
      <w:rPr>
        <w:rFonts w:ascii="Book Antiqua" w:hAnsi="Book Antiqua" w:cs="Book Antiqua"/>
        <w:i/>
        <w:iCs/>
        <w:sz w:val="18"/>
        <w:szCs w:val="18"/>
        <w:lang w:val="en-US"/>
      </w:rPr>
      <w:t xml:space="preserve"> </w:t>
    </w:r>
  </w:p>
  <w:p w14:paraId="5A66FCFC" w14:textId="77777777" w:rsidR="00A42280" w:rsidRDefault="00A42280">
    <w:pPr>
      <w:pStyle w:val="Header"/>
      <w:tabs>
        <w:tab w:val="clear" w:pos="4320"/>
      </w:tabs>
      <w:ind w:right="51"/>
      <w:jc w:val="center"/>
      <w:rPr>
        <w:rFonts w:ascii="Book Antiqua" w:hAnsi="Book Antiqua" w:cs="Book Antiqua"/>
        <w:i/>
        <w:iCs/>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6FF7F02" w14:textId="77777777" w:rsidR="00A42280" w:rsidRDefault="00000000">
    <w:pPr>
      <w:pStyle w:val="Header"/>
      <w:rPr>
        <w:lang w:val="en-US" w:eastAsia="en-US"/>
      </w:rPr>
    </w:pPr>
    <w:r>
      <w:rPr>
        <w:noProof/>
        <w:lang w:val="en-US" w:eastAsia="en-US"/>
      </w:rPr>
      <w:drawing>
        <wp:anchor distT="0" distB="0" distL="114935" distR="114935" simplePos="0" relativeHeight="20" behindDoc="1" locked="0" layoutInCell="1" allowOverlap="1" wp14:anchorId="4448A8CE" wp14:editId="3280B5A9">
          <wp:simplePos x="0" y="0"/>
          <wp:positionH relativeFrom="column">
            <wp:posOffset>-968375</wp:posOffset>
          </wp:positionH>
          <wp:positionV relativeFrom="paragraph">
            <wp:posOffset>-635635</wp:posOffset>
          </wp:positionV>
          <wp:extent cx="6383655" cy="964565"/>
          <wp:effectExtent l="0" t="0" r="0" b="0"/>
          <wp:wrapNone/>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
                  <a:srcRect l="-3" t="-13" r="-3" b="29063"/>
                  <a:stretch>
                    <a:fillRect/>
                  </a:stretch>
                </pic:blipFill>
                <pic:spPr bwMode="auto">
                  <a:xfrm>
                    <a:off x="0" y="0"/>
                    <a:ext cx="6383655" cy="964565"/>
                  </a:xfrm>
                  <a:prstGeom prst="rect">
                    <a:avLst/>
                  </a:prstGeom>
                  <a:noFill/>
                </pic:spPr>
              </pic:pic>
            </a:graphicData>
          </a:graphic>
        </wp:anchor>
      </w:drawing>
    </w:r>
  </w:p>
  <w:p w14:paraId="62B81E68" w14:textId="77777777" w:rsidR="00A42280" w:rsidRDefault="00A42280">
    <w:pPr>
      <w:pStyle w:val="Header"/>
    </w:pPr>
  </w:p>
  <w:tbl>
    <w:tblPr>
      <w:tblW w:w="9639" w:type="dxa"/>
      <w:tblInd w:w="-1026" w:type="dxa"/>
      <w:tblLayout w:type="fixed"/>
      <w:tblLook w:val="0000" w:firstRow="0" w:lastRow="0" w:firstColumn="0" w:lastColumn="0" w:noHBand="0" w:noVBand="0"/>
    </w:tblPr>
    <w:tblGrid>
      <w:gridCol w:w="2977"/>
      <w:gridCol w:w="3456"/>
      <w:gridCol w:w="3206"/>
    </w:tblGrid>
    <w:tr w:rsidR="00A42280" w14:paraId="071D208A" w14:textId="77777777" w:rsidTr="00F5126B">
      <w:tc>
        <w:tcPr>
          <w:tcW w:w="2977" w:type="dxa"/>
        </w:tcPr>
        <w:p w14:paraId="4C735BD7" w14:textId="05A50828" w:rsidR="00A42280" w:rsidRDefault="00000000">
          <w:pPr>
            <w:pStyle w:val="Header"/>
            <w:rPr>
              <w:rFonts w:ascii="Bookman Old Style" w:hAnsi="Bookman Old Style" w:cs="Bookman Old Style"/>
              <w:sz w:val="16"/>
              <w:szCs w:val="16"/>
            </w:rPr>
          </w:pPr>
          <w:r>
            <w:rPr>
              <w:rFonts w:ascii="Bookman Old Style" w:hAnsi="Bookman Old Style" w:cs="Bookman Old Style"/>
              <w:sz w:val="16"/>
              <w:szCs w:val="16"/>
            </w:rPr>
            <w:t xml:space="preserve">Vol. 3. No. 4, </w:t>
          </w:r>
          <w:r w:rsidR="00B519DC">
            <w:rPr>
              <w:rFonts w:ascii="Bookman Old Style" w:hAnsi="Bookman Old Style" w:cs="Bookman Old Style"/>
              <w:sz w:val="16"/>
              <w:szCs w:val="16"/>
            </w:rPr>
            <w:t>November</w:t>
          </w:r>
          <w:r>
            <w:rPr>
              <w:rFonts w:ascii="Bookman Old Style" w:hAnsi="Bookman Old Style" w:cs="Bookman Old Style"/>
              <w:sz w:val="16"/>
              <w:szCs w:val="16"/>
            </w:rPr>
            <w:t xml:space="preserve"> 2023</w:t>
          </w:r>
        </w:p>
      </w:tc>
      <w:tc>
        <w:tcPr>
          <w:tcW w:w="3456" w:type="dxa"/>
        </w:tcPr>
        <w:p w14:paraId="00971BB4" w14:textId="77777777" w:rsidR="00A42280" w:rsidRDefault="00A42280">
          <w:pPr>
            <w:pStyle w:val="Header"/>
            <w:snapToGrid w:val="0"/>
            <w:rPr>
              <w:rFonts w:ascii="Bookman Old Style" w:hAnsi="Bookman Old Style" w:cs="Bookman Old Style"/>
              <w:sz w:val="16"/>
              <w:szCs w:val="16"/>
            </w:rPr>
          </w:pPr>
        </w:p>
      </w:tc>
      <w:tc>
        <w:tcPr>
          <w:tcW w:w="3206" w:type="dxa"/>
        </w:tcPr>
        <w:p w14:paraId="400E7EA4" w14:textId="77777777" w:rsidR="00A42280" w:rsidRDefault="00000000">
          <w:pPr>
            <w:pStyle w:val="Header"/>
            <w:rPr>
              <w:rFonts w:ascii="Bookman Old Style" w:hAnsi="Bookman Old Style" w:cs="Bookman Old Style"/>
              <w:sz w:val="16"/>
              <w:szCs w:val="16"/>
            </w:rPr>
          </w:pPr>
          <w:r>
            <w:rPr>
              <w:rFonts w:ascii="Bookman Old Style" w:hAnsi="Bookman Old Style" w:cs="Bookman Old Style"/>
              <w:sz w:val="16"/>
              <w:szCs w:val="16"/>
            </w:rPr>
            <w:t>E ISSN: 2</w:t>
          </w:r>
          <w:r>
            <w:rPr>
              <w:rFonts w:ascii="Bookman Old Style" w:hAnsi="Bookman Old Style" w:cs="Bookman Old Style"/>
              <w:sz w:val="16"/>
              <w:szCs w:val="16"/>
              <w:shd w:val="clear" w:color="auto" w:fill="FFFFFF"/>
            </w:rPr>
            <w:t>775-3484</w:t>
          </w:r>
        </w:p>
      </w:tc>
    </w:tr>
    <w:tr w:rsidR="00A42280" w14:paraId="4C034417" w14:textId="77777777" w:rsidTr="00F5126B">
      <w:tc>
        <w:tcPr>
          <w:tcW w:w="2977" w:type="dxa"/>
        </w:tcPr>
        <w:p w14:paraId="03760D9A" w14:textId="77777777" w:rsidR="00A42280" w:rsidRDefault="00000000">
          <w:pPr>
            <w:pStyle w:val="Header"/>
            <w:rPr>
              <w:rFonts w:ascii="Bookman Old Style" w:hAnsi="Bookman Old Style" w:cs="Bookman Old Style"/>
              <w:sz w:val="16"/>
              <w:szCs w:val="16"/>
            </w:rPr>
          </w:pPr>
          <w:r>
            <w:rPr>
              <w:rFonts w:ascii="Bookman Old Style" w:hAnsi="Bookman Old Style" w:cs="Bookman Old Style"/>
              <w:sz w:val="16"/>
              <w:szCs w:val="16"/>
            </w:rPr>
            <w:t>DOI: 10.53768/sijel.v3i4</w:t>
          </w:r>
          <w:r>
            <w:rPr>
              <w:rFonts w:ascii="Bookman Old Style" w:hAnsi="Bookman Old Style" w:cs="Bookman Old Style"/>
              <w:color w:val="000000"/>
              <w:sz w:val="16"/>
              <w:szCs w:val="16"/>
            </w:rPr>
            <w:t>.194</w:t>
          </w:r>
        </w:p>
      </w:tc>
      <w:tc>
        <w:tcPr>
          <w:tcW w:w="3456" w:type="dxa"/>
        </w:tcPr>
        <w:p w14:paraId="62F47AA6" w14:textId="77777777" w:rsidR="00A42280" w:rsidRDefault="00A42280">
          <w:pPr>
            <w:pStyle w:val="Header"/>
            <w:snapToGrid w:val="0"/>
            <w:rPr>
              <w:rFonts w:ascii="Bookman Old Style" w:hAnsi="Bookman Old Style" w:cs="Bookman Old Style"/>
              <w:sz w:val="16"/>
              <w:szCs w:val="16"/>
            </w:rPr>
          </w:pPr>
        </w:p>
      </w:tc>
      <w:tc>
        <w:tcPr>
          <w:tcW w:w="3206" w:type="dxa"/>
        </w:tcPr>
        <w:p w14:paraId="58122ADD" w14:textId="77777777" w:rsidR="00A42280" w:rsidRDefault="00A42280">
          <w:pPr>
            <w:pStyle w:val="Header"/>
            <w:snapToGrid w:val="0"/>
            <w:rPr>
              <w:rFonts w:ascii="Bookman Old Style" w:hAnsi="Bookman Old Style" w:cs="Bookman Old Style"/>
              <w:sz w:val="16"/>
              <w:szCs w:val="16"/>
            </w:rPr>
          </w:pPr>
        </w:p>
      </w:tc>
    </w:tr>
  </w:tbl>
  <w:p w14:paraId="3457FE19" w14:textId="77777777" w:rsidR="00A42280" w:rsidRDefault="00000000">
    <w:pPr>
      <w:pStyle w:val="Header"/>
      <w:rPr>
        <w:rFonts w:ascii="Bookman Old Style" w:hAnsi="Bookman Old Style" w:cs="Bookman Old Style"/>
        <w:sz w:val="16"/>
        <w:szCs w:val="16"/>
      </w:rPr>
    </w:pPr>
    <w:r>
      <w:rPr>
        <w:rFonts w:ascii="Bookman Old Style" w:hAnsi="Bookman Old Style" w:cs="Bookman Old Style"/>
        <w:sz w:val="16"/>
        <w:szCs w:val="16"/>
      </w:rPr>
      <w:tab/>
    </w:r>
    <w:r>
      <w:rPr>
        <w:rFonts w:ascii="Bookman Old Style" w:hAnsi="Bookman Old Style" w:cs="Bookman Old Style"/>
        <w:sz w:val="16"/>
        <w:szCs w:val="16"/>
      </w:rPr>
      <w:tab/>
    </w:r>
    <w:r>
      <w:rPr>
        <w:rFonts w:ascii="Bookman Old Style" w:hAnsi="Bookman Old Style" w:cs="Bookman Old Style"/>
        <w:sz w:val="16"/>
        <w:szCs w:val="16"/>
      </w:rPr>
      <w:tab/>
    </w:r>
    <w:r>
      <w:rPr>
        <w:rFonts w:ascii="Bookman Old Style" w:hAnsi="Bookman Old Style" w:cs="Bookman Old Style"/>
        <w:sz w:val="16"/>
        <w:szCs w:val="16"/>
      </w:rPr>
      <w:tab/>
    </w:r>
  </w:p>
  <w:p w14:paraId="2EBBD375" w14:textId="77777777" w:rsidR="00A42280" w:rsidRDefault="00000000">
    <w:pPr>
      <w:pStyle w:val="Header"/>
      <w:tabs>
        <w:tab w:val="clear" w:pos="4320"/>
      </w:tabs>
    </w:pPr>
    <w:r>
      <w:rPr>
        <w:rFonts w:ascii="Bookman Old Style" w:hAnsi="Bookman Old Style" w:cs="Bookman Old Style"/>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B75008F"/>
    <w:multiLevelType w:val="multilevel"/>
    <w:tmpl w:val="410821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21D73BF"/>
    <w:multiLevelType w:val="multilevel"/>
    <w:tmpl w:val="4C42D9A8"/>
    <w:lvl w:ilvl="0">
      <w:start w:val="1"/>
      <w:numFmt w:val="bullet"/>
      <w:lvlText w:val=""/>
      <w:lvlJc w:val="left"/>
      <w:pPr>
        <w:tabs>
          <w:tab w:val="num" w:pos="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F72B63"/>
    <w:multiLevelType w:val="multilevel"/>
    <w:tmpl w:val="761ED5C4"/>
    <w:lvl w:ilvl="0">
      <w:start w:val="1"/>
      <w:numFmt w:val="decimal"/>
      <w:pStyle w:val="CPTABLE"/>
      <w:lvlText w:val="Tabel %1."/>
      <w:lvlJc w:val="center"/>
      <w:pPr>
        <w:tabs>
          <w:tab w:val="num" w:pos="0"/>
        </w:tabs>
        <w:ind w:left="720" w:hanging="360"/>
      </w:pPr>
      <w:rPr>
        <w:b w:val="0"/>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010778B"/>
    <w:multiLevelType w:val="multilevel"/>
    <w:tmpl w:val="CE4274A8"/>
    <w:lvl w:ilvl="0">
      <w:start w:val="1"/>
      <w:numFmt w:val="decimal"/>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11092705">
    <w:abstractNumId w:val="2"/>
  </w:num>
  <w:num w:numId="2" w16cid:durableId="1421871882">
    <w:abstractNumId w:val="1"/>
  </w:num>
  <w:num w:numId="3" w16cid:durableId="999625964">
    <w:abstractNumId w:val="3"/>
  </w:num>
  <w:num w:numId="4" w16cid:durableId="41363042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mirrorMargins/>
  <w:defaultTabStop w:val="720"/>
  <w:autoHyphenation/>
  <w:hyphenationZone w:val="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Q0NTW0tDAxNDEwMzBT0lEKTi0uzszPAymwqAUAZhyU3SwAAAA="/>
  </w:docVars>
  <w:rsids>
    <w:rsidRoot w:val="00A42280"/>
    <w:rsid w:val="002439A4"/>
    <w:rsid w:val="00835E3E"/>
    <w:rsid w:val="009E7A81"/>
    <w:rsid w:val="00A42280"/>
    <w:rsid w:val="00B47184"/>
    <w:rsid w:val="00B519DC"/>
    <w:rsid w:val="00D6244D"/>
    <w:rsid w:val="00F5126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5ACFBFC7"/>
  <w15:docId w15:val="{F22493D0-5C6B-894B-8D62-02315F1FD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Noto Serif CJK SC" w:hAnsi="Liberation Serif" w:cs="DejaVu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ID" w:bidi="ar-SA"/>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WW8Num1z0">
    <w:name w:val="WW8Num1z0"/>
    <w:qFormat/>
    <w:rPr>
      <w:b w:val="0"/>
      <w:i w:val="0"/>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style>
  <w:style w:type="character" w:customStyle="1" w:styleId="WW8Num4z0">
    <w:name w:val="WW8Num4z0"/>
    <w:qFormat/>
  </w:style>
  <w:style w:type="character" w:customStyle="1" w:styleId="HeaderKAR">
    <w:name w:val="Header KAR"/>
    <w:qFormat/>
    <w:rPr>
      <w:sz w:val="24"/>
      <w:szCs w:val="24"/>
      <w:lang w:bidi="ar-SA"/>
    </w:rPr>
  </w:style>
  <w:style w:type="character" w:styleId="NomorHalaman">
    <w:name w:val="page number"/>
    <w:basedOn w:val="FontParagrafDefault"/>
  </w:style>
  <w:style w:type="character" w:customStyle="1" w:styleId="hps">
    <w:name w:val="hps"/>
    <w:qFormat/>
    <w:rPr>
      <w:rFonts w:cs="Times New Roman"/>
    </w:rPr>
  </w:style>
  <w:style w:type="character" w:customStyle="1" w:styleId="TeksCatatanKakiKAR">
    <w:name w:val="Teks Catatan Kaki KAR"/>
    <w:qFormat/>
    <w:rPr>
      <w:lang w:val="id-ID" w:bidi="ar-SA"/>
    </w:rPr>
  </w:style>
  <w:style w:type="character" w:customStyle="1" w:styleId="shorttext">
    <w:name w:val="short_text"/>
    <w:basedOn w:val="FontParagrafDefault"/>
    <w:qFormat/>
  </w:style>
  <w:style w:type="character" w:customStyle="1" w:styleId="FootnoteCharacters">
    <w:name w:val="Footnote Characters"/>
    <w:qFormat/>
    <w:rPr>
      <w:vertAlign w:val="superscript"/>
    </w:rPr>
  </w:style>
  <w:style w:type="character" w:customStyle="1" w:styleId="EndnoteCharacters">
    <w:name w:val="Endnote Characters"/>
    <w:qFormat/>
    <w:rPr>
      <w:vertAlign w:val="superscript"/>
    </w:rPr>
  </w:style>
  <w:style w:type="character" w:styleId="Kuat">
    <w:name w:val="Strong"/>
    <w:qFormat/>
    <w:rPr>
      <w:b/>
      <w:bCs/>
    </w:rPr>
  </w:style>
  <w:style w:type="character" w:customStyle="1" w:styleId="hpsalt-edited">
    <w:name w:val="hps alt-edited"/>
    <w:basedOn w:val="FontParagrafDefault"/>
    <w:qFormat/>
  </w:style>
  <w:style w:type="character" w:customStyle="1" w:styleId="hpsatn">
    <w:name w:val="hps atn"/>
    <w:basedOn w:val="FontParagrafDefault"/>
    <w:qFormat/>
  </w:style>
  <w:style w:type="character" w:styleId="Hyperlink">
    <w:name w:val="Hyperlink"/>
    <w:rPr>
      <w:color w:val="0000FF"/>
      <w:u w:val="single"/>
    </w:rPr>
  </w:style>
  <w:style w:type="character" w:styleId="Penekanan">
    <w:name w:val="Emphasis"/>
    <w:qFormat/>
    <w:rPr>
      <w:i/>
      <w:iCs/>
    </w:rPr>
  </w:style>
  <w:style w:type="character" w:customStyle="1" w:styleId="TeksBalonKAR">
    <w:name w:val="Teks Balon KAR"/>
    <w:qFormat/>
    <w:rPr>
      <w:rFonts w:ascii="Tahoma" w:eastAsia="Calibri" w:hAnsi="Tahoma" w:cs="Tahoma"/>
      <w:sz w:val="16"/>
      <w:szCs w:val="16"/>
      <w:lang w:val="en-GB"/>
    </w:rPr>
  </w:style>
  <w:style w:type="character" w:customStyle="1" w:styleId="st">
    <w:name w:val="st"/>
    <w:basedOn w:val="FontParagrafDefault"/>
    <w:qFormat/>
  </w:style>
  <w:style w:type="character" w:customStyle="1" w:styleId="ilfuvd">
    <w:name w:val="ilfuvd"/>
    <w:basedOn w:val="FontParagrafDefault"/>
    <w:qFormat/>
  </w:style>
  <w:style w:type="paragraph" w:customStyle="1" w:styleId="Heading">
    <w:name w:val="Heading"/>
    <w:basedOn w:val="Normal"/>
    <w:next w:val="TeksIsi"/>
    <w:qFormat/>
    <w:pPr>
      <w:keepNext/>
      <w:spacing w:before="240" w:after="120"/>
    </w:pPr>
    <w:rPr>
      <w:rFonts w:ascii="Liberation Sans" w:eastAsia="Noto Sans CJK SC" w:hAnsi="Liberation Sans" w:cs="DejaVu Sans"/>
      <w:sz w:val="28"/>
      <w:szCs w:val="28"/>
    </w:rPr>
  </w:style>
  <w:style w:type="paragraph" w:styleId="TeksIsi">
    <w:name w:val="Body Text"/>
    <w:basedOn w:val="Normal"/>
    <w:pPr>
      <w:spacing w:after="140" w:line="276" w:lineRule="auto"/>
    </w:pPr>
  </w:style>
  <w:style w:type="paragraph" w:styleId="Daftar">
    <w:name w:val="List"/>
    <w:basedOn w:val="TeksIsi"/>
    <w:rPr>
      <w:rFonts w:cs="DejaVu Sans"/>
    </w:rPr>
  </w:style>
  <w:style w:type="paragraph" w:styleId="Keterangan">
    <w:name w:val="caption"/>
    <w:basedOn w:val="Normal"/>
    <w:qFormat/>
    <w:pPr>
      <w:suppressLineNumbers/>
      <w:spacing w:before="120" w:after="120"/>
    </w:pPr>
    <w:rPr>
      <w:rFonts w:cs="DejaVu Sans"/>
      <w:i/>
      <w:iCs/>
    </w:rPr>
  </w:style>
  <w:style w:type="paragraph" w:customStyle="1" w:styleId="Index">
    <w:name w:val="Index"/>
    <w:basedOn w:val="Normal"/>
    <w:qFormat/>
    <w:pPr>
      <w:suppressLineNumbers/>
    </w:pPr>
    <w:rPr>
      <w:rFonts w:cs="DejaVu Sans"/>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aftarParagraf">
    <w:name w:val="List Paragraph"/>
    <w:basedOn w:val="Normal"/>
    <w:qFormat/>
    <w:pPr>
      <w:spacing w:after="200" w:line="276" w:lineRule="auto"/>
      <w:ind w:left="720"/>
    </w:pPr>
    <w:rPr>
      <w:rFonts w:ascii="Calibri" w:hAnsi="Calibri" w:cs="Calibri"/>
      <w:sz w:val="22"/>
      <w:szCs w:val="22"/>
    </w:rPr>
  </w:style>
  <w:style w:type="paragraph" w:styleId="TeksCatatanKaki">
    <w:name w:val="footnote text"/>
    <w:basedOn w:val="Normal"/>
    <w:rPr>
      <w:sz w:val="20"/>
      <w:szCs w:val="20"/>
    </w:rPr>
  </w:style>
  <w:style w:type="paragraph" w:styleId="TeksCatatanAkhir">
    <w:name w:val="endnote text"/>
    <w:basedOn w:val="Normal"/>
    <w:rPr>
      <w:sz w:val="20"/>
      <w:szCs w:val="20"/>
    </w:rPr>
  </w:style>
  <w:style w:type="paragraph" w:styleId="TeksBalon">
    <w:name w:val="Balloon Text"/>
    <w:basedOn w:val="Normal"/>
    <w:qFormat/>
    <w:pPr>
      <w:contextualSpacing/>
      <w:jc w:val="both"/>
    </w:pPr>
    <w:rPr>
      <w:rFonts w:ascii="Tahoma" w:eastAsia="Calibri" w:hAnsi="Tahoma" w:cs="Tahoma"/>
      <w:sz w:val="16"/>
      <w:szCs w:val="16"/>
      <w:lang w:val="en-GB"/>
    </w:rPr>
  </w:style>
  <w:style w:type="paragraph" w:customStyle="1" w:styleId="CPTABLE">
    <w:name w:val="CP_TABLE"/>
    <w:basedOn w:val="Normal"/>
    <w:qFormat/>
    <w:pPr>
      <w:numPr>
        <w:numId w:val="1"/>
      </w:numPr>
      <w:spacing w:before="240" w:after="120"/>
      <w:ind w:left="850" w:hanging="493"/>
      <w:contextualSpacing/>
      <w:jc w:val="center"/>
    </w:pPr>
    <w:rPr>
      <w:rFonts w:eastAsia="Calibri" w:cs="Calibri"/>
      <w:lang w:val="en-US"/>
    </w:rPr>
  </w:style>
  <w:style w:type="paragraph" w:customStyle="1" w:styleId="E-JOURNALAbstrakTitle">
    <w:name w:val="E-JOURNAL_AbstrakTitle"/>
    <w:basedOn w:val="Normal"/>
    <w:qFormat/>
    <w:pPr>
      <w:spacing w:after="60"/>
      <w:jc w:val="center"/>
    </w:pPr>
    <w:rPr>
      <w:b/>
      <w:sz w:val="22"/>
    </w:rPr>
  </w:style>
  <w:style w:type="paragraph" w:customStyle="1" w:styleId="E-JOURNALAuthor">
    <w:name w:val="E-JOURNAL_Author"/>
    <w:basedOn w:val="Normal"/>
    <w:qFormat/>
    <w:pPr>
      <w:jc w:val="center"/>
    </w:pPr>
    <w:rPr>
      <w:sz w:val="22"/>
      <w:szCs w:val="22"/>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Normal"/>
    <w:qFormat/>
  </w:style>
  <w:style w:type="paragraph" w:customStyle="1" w:styleId="HeaderLeft">
    <w:name w:val="Header Left"/>
    <w:basedOn w:val="Header"/>
    <w:qFormat/>
    <w:pPr>
      <w:suppressLineNumbers/>
      <w:tabs>
        <w:tab w:val="clear" w:pos="4320"/>
        <w:tab w:val="clear" w:pos="8640"/>
        <w:tab w:val="center" w:pos="3713"/>
        <w:tab w:val="right" w:pos="7426"/>
      </w:tabs>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15</Pages>
  <Words>3053</Words>
  <Characters>20459</Characters>
  <Application>Microsoft Office Word</Application>
  <DocSecurity>0</DocSecurity>
  <Lines>475</Lines>
  <Paragraphs>228</Paragraphs>
  <ScaleCrop>false</ScaleCrop>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Ilmiah Peuradeun</dc:title>
  <dc:subject>JIP-International Journal</dc:subject>
  <dc:creator>SCAD Independent</dc:creator>
  <cp:keywords>jurnal ilmiah peuradeun international journal multidisciplinary</cp:keywords>
  <dc:description>www.scadindependent.org</dc:description>
  <cp:lastModifiedBy>mardhatillah.pasca</cp:lastModifiedBy>
  <cp:revision>4</cp:revision>
  <cp:lastPrinted>2015-04-16T22:53:00Z</cp:lastPrinted>
  <dcterms:created xsi:type="dcterms:W3CDTF">2026-07-25T10:11:00Z</dcterms:created>
  <dcterms:modified xsi:type="dcterms:W3CDTF">2026-07-25T10:14:00Z</dcterms:modified>
  <dc:language>en-US</dc:language>
</cp:coreProperties>
</file>