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797974" w14:textId="77777777" w:rsidR="00842E2E" w:rsidRDefault="00000000">
      <w:pPr>
        <w:spacing w:after="240" w:line="240" w:lineRule="auto"/>
        <w:jc w:val="center"/>
      </w:pPr>
      <w:r>
        <w:rPr>
          <w:rFonts w:ascii="Bookman Old Style" w:eastAsia="Bookman Old Style" w:hAnsi="Bookman Old Style"/>
          <w:b/>
          <w:sz w:val="28"/>
        </w:rPr>
        <w:t>THE USE OF EDUCATIONAL TECHNOLOGY TO SUPPORT DIFFERENTIATED INSTRUCTION IN PRIMARY SCHOOL CLASSROOMS IN INDONESIA</w:t>
      </w:r>
    </w:p>
    <w:p w14:paraId="2F354536" w14:textId="77777777" w:rsidR="00842E2E" w:rsidRDefault="00000000">
      <w:pPr>
        <w:spacing w:after="0" w:line="240" w:lineRule="auto"/>
        <w:jc w:val="center"/>
      </w:pPr>
      <w:r>
        <w:t>Author Name1</w:t>
      </w:r>
    </w:p>
    <w:p w14:paraId="29ACFBF0" w14:textId="77777777" w:rsidR="00842E2E" w:rsidRDefault="00000000">
      <w:pPr>
        <w:spacing w:after="0" w:line="240" w:lineRule="auto"/>
        <w:jc w:val="center"/>
      </w:pPr>
      <w:r>
        <w:t>Affiliation</w:t>
      </w:r>
    </w:p>
    <w:p w14:paraId="6C49FF6D" w14:textId="77777777" w:rsidR="00842E2E" w:rsidRDefault="00000000">
      <w:pPr>
        <w:spacing w:after="0" w:line="240" w:lineRule="auto"/>
        <w:jc w:val="center"/>
      </w:pPr>
      <w:r>
        <w:t>Email</w:t>
      </w:r>
    </w:p>
    <w:p w14:paraId="6DD8DF3F" w14:textId="77777777" w:rsidR="00842E2E" w:rsidRDefault="00000000">
      <w:pPr>
        <w:spacing w:after="0" w:line="240" w:lineRule="auto"/>
        <w:jc w:val="center"/>
      </w:pPr>
      <w:r>
        <w:t>Author Name2</w:t>
      </w:r>
    </w:p>
    <w:p w14:paraId="33F96E3F" w14:textId="77777777" w:rsidR="00842E2E" w:rsidRDefault="00000000">
      <w:pPr>
        <w:spacing w:after="0" w:line="240" w:lineRule="auto"/>
        <w:jc w:val="center"/>
      </w:pPr>
      <w:r>
        <w:t>Affiliation</w:t>
      </w:r>
    </w:p>
    <w:p w14:paraId="03073232" w14:textId="77777777" w:rsidR="00842E2E" w:rsidRDefault="00000000">
      <w:pPr>
        <w:spacing w:after="0" w:line="240" w:lineRule="auto"/>
        <w:jc w:val="center"/>
      </w:pPr>
      <w:r>
        <w:t>Email</w:t>
      </w:r>
    </w:p>
    <w:p w14:paraId="461D4A55" w14:textId="77777777" w:rsidR="00842E2E" w:rsidRDefault="00000000">
      <w:pPr>
        <w:spacing w:after="0" w:line="240" w:lineRule="auto"/>
        <w:jc w:val="center"/>
      </w:pPr>
      <w:r>
        <w:t>Author Name3</w:t>
      </w:r>
    </w:p>
    <w:p w14:paraId="6CB97220" w14:textId="77777777" w:rsidR="00842E2E" w:rsidRDefault="00000000">
      <w:pPr>
        <w:spacing w:after="0" w:line="240" w:lineRule="auto"/>
        <w:jc w:val="center"/>
      </w:pPr>
      <w:r>
        <w:t>Affiliation</w:t>
      </w:r>
    </w:p>
    <w:p w14:paraId="215C1EE7" w14:textId="77777777" w:rsidR="00842E2E" w:rsidRDefault="00000000">
      <w:pPr>
        <w:spacing w:after="120" w:line="240" w:lineRule="auto"/>
        <w:jc w:val="center"/>
      </w:pPr>
      <w:r>
        <w:t>Email</w:t>
      </w:r>
    </w:p>
    <w:p w14:paraId="661A3F56" w14:textId="77777777" w:rsidR="00842E2E" w:rsidRDefault="00000000">
      <w:pPr>
        <w:spacing w:before="120" w:after="120" w:line="312" w:lineRule="auto"/>
      </w:pPr>
      <w:r>
        <w:rPr>
          <w:b/>
        </w:rPr>
        <w:t>Abstract</w:t>
      </w:r>
    </w:p>
    <w:p w14:paraId="17FCA1A8" w14:textId="77777777" w:rsidR="00842E2E" w:rsidRDefault="00000000">
      <w:pPr>
        <w:spacing w:after="120" w:line="312" w:lineRule="auto"/>
        <w:jc w:val="both"/>
      </w:pPr>
      <w:r>
        <w:rPr>
          <w:i/>
          <w:sz w:val="22"/>
        </w:rPr>
        <w:t>Differentiated instruction is increasingly needed in primary schools because students enter classrooms with diverse readiness levels, learning interests, learning profiles, digital familiarity, and academic needs. However, many teachers still experience difficulty implementing differentiation because of limited time, large class size, assessment demands, and the complexity of providing varied learning pathways. Educational technology offers practical support for differentiated instruction by enabling diagnostic assessment, flexible grouping, multimodal content delivery, adaptive tasks, formative feedback, and student-paced learning. This study aims to examine how educational technology supports differentiated instruction in primary schools and how it affects students’ learning engagement and academic achievement. The study employed a mixed-method design using a quasi-experimental pretest-posttest control group approach supported by classroom observations, teacher interviews, student interviews, and document analysis. The participants were 124 Grade V students and eight primary school teachers. The experimental group received technology-supported differentiated instruction for eight weeks, while the control group received conventional instruction. Quantitative data were analyzed using descriptive statistics, paired-sample t-tests, independent-sample t-tests, and effect size analysis. Qualitative data were analyzed thematically. The findings showed that technology-supported differentiated instruction improved students’ achievement and engagement more substantially than conventional instruction. Qualitative findings revealed that educational technology helped teachers identify students’ needs, provide tiered materials, monitor learning progress, and give timely feedback. The study concludes that educational technology can strengthen differentiated instruction when it is pedagogically guided, assessment-informed, inclusive, and aligned with primary students’ developmental characteristics.</w:t>
      </w:r>
    </w:p>
    <w:p w14:paraId="51D27496" w14:textId="77777777" w:rsidR="00842E2E" w:rsidRDefault="00000000">
      <w:pPr>
        <w:spacing w:after="240" w:line="312" w:lineRule="auto"/>
      </w:pPr>
      <w:r>
        <w:rPr>
          <w:b/>
          <w:sz w:val="22"/>
        </w:rPr>
        <w:t>Keywords: educational technology; differentiated instruction; primary school; student engagement; mixed method</w:t>
      </w:r>
    </w:p>
    <w:p w14:paraId="11CF6E12" w14:textId="77777777" w:rsidR="00842E2E" w:rsidRDefault="00000000">
      <w:pPr>
        <w:spacing w:before="120" w:after="120" w:line="312" w:lineRule="auto"/>
      </w:pPr>
      <w:r>
        <w:rPr>
          <w:b/>
        </w:rPr>
        <w:t>A. Introduction</w:t>
      </w:r>
    </w:p>
    <w:p w14:paraId="5DBE5844" w14:textId="77777777" w:rsidR="00842E2E" w:rsidRDefault="00000000">
      <w:pPr>
        <w:spacing w:after="120" w:line="312" w:lineRule="auto"/>
        <w:ind w:firstLine="432"/>
        <w:jc w:val="both"/>
      </w:pPr>
      <w:r>
        <w:lastRenderedPageBreak/>
        <w:t>Primary school classrooms are characterized by substantial diversity. Students differ in prior knowledge, reading ability, numeracy skills, attention span, learning pace, interests, socio-emotional readiness, language background, and access to learning support at home. These differences require teachers to design instruction that does not assume all students learn in the same way, at the same speed, or through the same form of support. In this context, differentiated instruction becomes an important pedagogical approach for improving learning equity and classroom responsiveness.</w:t>
      </w:r>
    </w:p>
    <w:p w14:paraId="6A4D1D97" w14:textId="77777777" w:rsidR="00842E2E" w:rsidRDefault="00000000">
      <w:pPr>
        <w:spacing w:after="120" w:line="312" w:lineRule="auto"/>
        <w:ind w:firstLine="432"/>
        <w:jc w:val="both"/>
      </w:pPr>
      <w:r>
        <w:t>Differentiated instruction refers to teachers’ systematic efforts to adapt content, process, product, and learning environment based on students’ readiness, interests, and learning profiles. It does not mean preparing entirely different lessons for every student. Rather, it involves responsive instructional planning that provides multiple pathways for students to access knowledge, process ideas, demonstrate understanding, and receive support (Tomlinson, 2014). Differentiation is particularly relevant in primary schools because foundational competencies in literacy, numeracy, science, and social learning develop unevenly among children.</w:t>
      </w:r>
    </w:p>
    <w:p w14:paraId="2B75117C" w14:textId="77777777" w:rsidR="00842E2E" w:rsidRDefault="00000000">
      <w:pPr>
        <w:spacing w:after="120" w:line="312" w:lineRule="auto"/>
        <w:ind w:firstLine="432"/>
        <w:jc w:val="both"/>
      </w:pPr>
      <w:r>
        <w:t>Despite its importance, differentiated instruction is difficult to implement consistently. Teachers need to diagnose students’ needs, prepare varied materials, organize flexible groups, monitor progress, give timely feedback, and manage classroom interaction. These tasks can become demanding when teachers handle large classes, limited instructional time, and heterogeneous student profiles. As a result, differentiation is sometimes reduced to giving additional tasks to fast learners or remedial worksheets to struggling learners. Such practices may not fully represent the pedagogical depth of differentiated instruction (Roy, Guay, &amp; Valois, 2013; Smale-Jacobse, Meijer, Helms-Lorenz, &amp; Maulana, 2019).</w:t>
      </w:r>
    </w:p>
    <w:p w14:paraId="452C7D8A" w14:textId="77777777" w:rsidR="00842E2E" w:rsidRDefault="00000000">
      <w:pPr>
        <w:spacing w:after="120" w:line="312" w:lineRule="auto"/>
        <w:ind w:firstLine="432"/>
        <w:jc w:val="both"/>
      </w:pPr>
      <w:r>
        <w:t>Educational technology offers opportunities to address some of these challenges. Technology can help teachers collect diagnostic information, provide multimodal resources, assign differentiated tasks, monitor student progress, and deliver feedback more efficiently. Digital platforms can also allow students to access materials at different levels of difficulty, repeat explanations, watch instructional videos, complete interactive exercises, and submit learning products in varied formats. In this sense, technology does not replace the teacher’s role but can support teachers’ capacity to respond to student diversity (Sailer, Murbock, &amp; Fischer, 2021; Tondeur, van Braak, Ertmer, &amp; Ottenbreit-Leftwich, 2017).</w:t>
      </w:r>
    </w:p>
    <w:p w14:paraId="56D8F983" w14:textId="77777777" w:rsidR="00842E2E" w:rsidRDefault="00000000">
      <w:pPr>
        <w:spacing w:after="120" w:line="312" w:lineRule="auto"/>
        <w:ind w:firstLine="432"/>
        <w:jc w:val="both"/>
      </w:pPr>
      <w:r>
        <w:lastRenderedPageBreak/>
        <w:t>Research has shown that digital tools and adaptive learning environments can support personalized and differentiated learning when they are pedagogically integrated. Computerized systems can provide small to moderate positive effects on student performance when used as differentiation tools (Deunk, Smale-Jacobse, de Boer, Doolaard, &amp; Bosker, 2018). Palieraki and Koutrouba (2021) also reported that differentiated instruction in information and communication technology teaching in primary education can support more effective learning when instructional activities are adapted to students’ needs. However, technology alone does not guarantee effective differentiation. Its value depends on how teachers use it to make instructional decisions.</w:t>
      </w:r>
    </w:p>
    <w:p w14:paraId="5CE90362" w14:textId="77777777" w:rsidR="00842E2E" w:rsidRDefault="00000000">
      <w:pPr>
        <w:spacing w:after="120" w:line="312" w:lineRule="auto"/>
        <w:ind w:firstLine="432"/>
        <w:jc w:val="both"/>
      </w:pPr>
      <w:r>
        <w:t>In many primary schools, educational technology is still used mainly for presentation, assignment distribution, or entertainment. Teachers may use slides, videos, and online quizzes, but these tools do not automatically create differentiation. Technology supports differentiated instruction only when it is connected to diagnostic assessment, flexible grouping, task variation, scaffolding, and formative feedback. If digital tools are used without pedagogical planning, they may produce superficial engagement rather than meaningful learning.</w:t>
      </w:r>
    </w:p>
    <w:p w14:paraId="7233BCE9" w14:textId="77777777" w:rsidR="00842E2E" w:rsidRDefault="00000000">
      <w:pPr>
        <w:spacing w:after="120" w:line="312" w:lineRule="auto"/>
        <w:ind w:firstLine="432"/>
        <w:jc w:val="both"/>
      </w:pPr>
      <w:r>
        <w:t>This issue is especially relevant in the post-pandemic educational context. Teachers and students have become more familiar with digital learning platforms, online materials, and mobile applications. However, the challenge now is no longer merely whether technology can be used, but how it can be used to improve instructional quality. Primary school teachers need models of educational technology integration that support differentiated instruction in practical and developmentally appropriate ways (Falloon, 2020; Bond, Bedenlier, Marin, &amp; Handel, 2021).</w:t>
      </w:r>
    </w:p>
    <w:p w14:paraId="45E32F94" w14:textId="77777777" w:rsidR="00842E2E" w:rsidRDefault="00000000">
      <w:pPr>
        <w:spacing w:after="120" w:line="312" w:lineRule="auto"/>
        <w:ind w:firstLine="432"/>
        <w:jc w:val="both"/>
      </w:pPr>
      <w:r>
        <w:t>The integration of educational technology and differentiated instruction is also consistent with inclusive education. Students who require additional support, enrichment, repeated practice, or alternative representation can benefit from digital resources when they are designed carefully. For example, struggling readers may access audio-supported texts; visual learners may benefit from diagrams and videos; advanced learners may work on enrichment tasks; students with low confidence may repeat exercises privately before participating in class. These practices show that technology can expand instructional flexibility.</w:t>
      </w:r>
    </w:p>
    <w:p w14:paraId="37A5210D" w14:textId="77777777" w:rsidR="00842E2E" w:rsidRDefault="00000000">
      <w:pPr>
        <w:spacing w:after="120" w:line="312" w:lineRule="auto"/>
        <w:ind w:firstLine="432"/>
        <w:jc w:val="both"/>
      </w:pPr>
      <w:r>
        <w:t xml:space="preserve">However, several challenges remain. Teachers may lack sufficient digital pedagogical competence. Schools may have unequal infrastructure. Students may have different levels of digital access and self-regulation. Some digital platforms may not match curriculum objectives. </w:t>
      </w:r>
      <w:r>
        <w:lastRenderedPageBreak/>
        <w:t>Teachers may also experience difficulty interpreting digital data for instructional decision-making. Therefore, research is needed to examine not only the effect of technology-supported differentiated instruction on student outcomes but also how teachers and students experience its implementation.</w:t>
      </w:r>
    </w:p>
    <w:p w14:paraId="54F1B2DC" w14:textId="77777777" w:rsidR="00842E2E" w:rsidRDefault="00000000">
      <w:pPr>
        <w:spacing w:after="120" w:line="312" w:lineRule="auto"/>
        <w:ind w:firstLine="432"/>
        <w:jc w:val="both"/>
      </w:pPr>
      <w:r>
        <w:t>Based on this background, this study aims to examine the use of educational technology to support differentiated instruction in primary schools. The research questions are: (1) Does technology-supported differentiated instruction significantly improve students’ academic achievement compared with conventional instruction? (2) Does technology-supported differentiated instruction improve students’ learning engagement? (3) How do teachers use educational technology to implement differentiated instruction in primary classrooms? (4) What challenges emerge during the implementation of technology-supported differentiated instruction?</w:t>
      </w:r>
    </w:p>
    <w:p w14:paraId="5767722B" w14:textId="77777777" w:rsidR="00842E2E" w:rsidRDefault="00000000">
      <w:pPr>
        <w:spacing w:before="120" w:after="120" w:line="312" w:lineRule="auto"/>
      </w:pPr>
      <w:r>
        <w:rPr>
          <w:b/>
        </w:rPr>
        <w:t>B. Method</w:t>
      </w:r>
    </w:p>
    <w:p w14:paraId="3693CA11" w14:textId="77777777" w:rsidR="00842E2E" w:rsidRDefault="00000000">
      <w:pPr>
        <w:spacing w:after="120" w:line="312" w:lineRule="auto"/>
        <w:ind w:firstLine="432"/>
        <w:jc w:val="both"/>
      </w:pPr>
      <w:r>
        <w:t>This study employed a mixed-method research design. The quantitative component used a quasi-experimental pretest-posttest control group design to examine the effect of technology-supported differentiated instruction on students’ academic achievement and learning engagement. The qualitative component used classroom observations, teacher interviews, student interviews, and document analysis to explain how educational technology supported differentiation in classroom practice. A mixed-method design was selected because the study aimed to measure learning outcomes and also understand the instructional processes behind the outcomes.</w:t>
      </w:r>
    </w:p>
    <w:p w14:paraId="5EBBBDF9" w14:textId="77777777" w:rsidR="00842E2E" w:rsidRDefault="00000000">
      <w:pPr>
        <w:spacing w:after="120" w:line="312" w:lineRule="auto"/>
        <w:ind w:firstLine="432"/>
        <w:jc w:val="both"/>
      </w:pPr>
      <w:r>
        <w:t>The participants were 124 Grade V students from four primary school classes and eight primary school teachers. Two classes were assigned as the experimental group, consisting of 62 students, while two classes were assigned as the control group, also consisting of 62 students. The students were selected from schools with similar curriculum implementation and comparable access to basic digital facilities. The teacher participants were selected because they taught literacy, science, or thematic learning in the participating classes.</w:t>
      </w:r>
    </w:p>
    <w:p w14:paraId="6373E474" w14:textId="77777777" w:rsidR="00842E2E" w:rsidRDefault="00000000">
      <w:pPr>
        <w:spacing w:after="120" w:line="312" w:lineRule="auto"/>
        <w:ind w:firstLine="432"/>
        <w:jc w:val="both"/>
      </w:pPr>
      <w:r>
        <w:t xml:space="preserve">The experimental group received technology-supported differentiated instruction for eight weeks. The instructional intervention consisted of five stages: diagnostic digital assessment, flexible grouping, differentiated digital learning pathways, formative feedback, and reflective learning. First, students completed short digital diagnostic quizzes to identify readiness levels. Second, teachers used the results to organize flexible groups. Third, students accessed tiered </w:t>
      </w:r>
      <w:r>
        <w:lastRenderedPageBreak/>
        <w:t>learning materials through digital slides, short videos, interactive worksheets, audio-supported texts, and enrichment tasks. Fourth, teachers used digital quiz results and worksheet submissions to provide feedback. Fifth, students completed short reflection activities to monitor their learning progress.</w:t>
      </w:r>
    </w:p>
    <w:p w14:paraId="70101EAA" w14:textId="77777777" w:rsidR="00842E2E" w:rsidRDefault="00000000">
      <w:pPr>
        <w:spacing w:after="120" w:line="312" w:lineRule="auto"/>
        <w:ind w:firstLine="432"/>
        <w:jc w:val="both"/>
      </w:pPr>
      <w:r>
        <w:t>The control group received conventional instruction using textbook explanation, whole-class teaching, printed worksheets, and teacher-led exercises. The same curriculum topics were taught in both groups, but the control group did not receive structured technology-supported differentiation.</w:t>
      </w:r>
    </w:p>
    <w:p w14:paraId="35754882" w14:textId="77777777" w:rsidR="00842E2E" w:rsidRDefault="00000000">
      <w:pPr>
        <w:spacing w:after="120" w:line="312" w:lineRule="auto"/>
        <w:ind w:firstLine="432"/>
        <w:jc w:val="both"/>
      </w:pPr>
      <w:r>
        <w:t>The quantitative instruments consisted of an academic achievement test and a student learning engagement questionnaire. The achievement test contained 30 items covering literacy comprehension, basic science concepts, and thematic learning content taught during the intervention. The reliability coefficient of the achievement test was 0.84. The engagement questionnaire consisted of 24 items measuring behavioral engagement, emotional engagement, cognitive engagement, and participation in learning activities. The reliability coefficient of the engagement questionnaire was 0.88. Both instruments were administered before and after the intervention.</w:t>
      </w:r>
    </w:p>
    <w:p w14:paraId="6F6B7A84" w14:textId="77777777" w:rsidR="00842E2E" w:rsidRDefault="00000000">
      <w:pPr>
        <w:spacing w:after="120" w:line="312" w:lineRule="auto"/>
        <w:ind w:firstLine="432"/>
        <w:jc w:val="both"/>
      </w:pPr>
      <w:r>
        <w:t>Qualitative data were collected through eight classroom observations, semi-structured interviews with eight teachers, interviews with 16 students, and analysis of learning documents. Observation focused on teacher differentiation strategies, student participation, use of digital tools, grouping patterns, feedback practices, and classroom challenges. Teacher interviews explored planning, implementation, perceived benefits, and obstacles. Student interviews explored their learning experiences, engagement, and perceived usefulness of technology-supported differentiation. Learning documents included lesson plans, diagnostic quiz results, digital worksheets, student products, teacher feedback records, and reflection forms.</w:t>
      </w:r>
    </w:p>
    <w:p w14:paraId="09480B40" w14:textId="77777777" w:rsidR="00842E2E" w:rsidRDefault="00000000">
      <w:pPr>
        <w:spacing w:after="120" w:line="312" w:lineRule="auto"/>
        <w:ind w:firstLine="432"/>
        <w:jc w:val="both"/>
      </w:pPr>
      <w:r>
        <w:t>Quantitative data were analyzed using descriptive statistics, paired-sample t-tests, independent-sample t-tests, normalized gain scores, and Cohen’s d effect size. Descriptive statistics were used to compare mean scores and standard deviations. Paired-sample t-tests examined improvement within each group. Independent-sample t-tests compared posttest results between groups. Normalized gain scores measured the degree of improvement, while Cohen’s d determined the magnitude of the intervention effect.</w:t>
      </w:r>
    </w:p>
    <w:p w14:paraId="2BE43BF1" w14:textId="77777777" w:rsidR="00842E2E" w:rsidRDefault="00000000">
      <w:pPr>
        <w:spacing w:after="120" w:line="312" w:lineRule="auto"/>
        <w:ind w:firstLine="432"/>
        <w:jc w:val="both"/>
      </w:pPr>
      <w:r>
        <w:lastRenderedPageBreak/>
        <w:t>Qualitative data were analyzed using thematic analysis. The analysis involved data familiarization, coding, theme development, theme review, and interpretation (Braun &amp; Clarke, 2006; Nowell, Norris, White, &amp; Moules, 2017). Data triangulation was conducted by comparing observation notes, interview transcripts, and learning documents. Member checking was conducted with selected teacher participants to confirm the accuracy of interpretations. Ethical procedures were applied by obtaining school permission, informing participants about the study purpose, anonymizing student identities, and ensuring that participation did not affect students’ grades.</w:t>
      </w:r>
    </w:p>
    <w:p w14:paraId="6DDC4E09" w14:textId="77777777" w:rsidR="00842E2E" w:rsidRDefault="00000000">
      <w:pPr>
        <w:spacing w:before="120" w:after="120" w:line="312" w:lineRule="auto"/>
      </w:pPr>
      <w:r>
        <w:rPr>
          <w:b/>
        </w:rPr>
        <w:t>C. Finding and Discussion</w:t>
      </w:r>
    </w:p>
    <w:p w14:paraId="37AAA608" w14:textId="77777777" w:rsidR="00842E2E" w:rsidRDefault="00000000">
      <w:pPr>
        <w:spacing w:before="120" w:after="120" w:line="312" w:lineRule="auto"/>
      </w:pPr>
      <w:r>
        <w:rPr>
          <w:b/>
        </w:rPr>
        <w:t>1. Finding</w:t>
      </w:r>
    </w:p>
    <w:p w14:paraId="28B05700" w14:textId="77777777" w:rsidR="00842E2E" w:rsidRDefault="00000000">
      <w:pPr>
        <w:spacing w:after="120" w:line="312" w:lineRule="auto"/>
        <w:ind w:firstLine="432"/>
        <w:jc w:val="both"/>
      </w:pPr>
      <w:r>
        <w:t>The findings are presented in four parts. The first part reports students’ academic achievement before and after the intervention. The second part presents changes in learning engagement. The third part describes how educational technology supported differentiated instruction. The fourth part explains implementation challenges.</w:t>
      </w:r>
    </w:p>
    <w:p w14:paraId="10066987" w14:textId="77777777" w:rsidR="00842E2E" w:rsidRDefault="00000000">
      <w:pPr>
        <w:spacing w:before="120" w:after="120" w:line="312" w:lineRule="auto"/>
      </w:pPr>
      <w:r>
        <w:rPr>
          <w:b/>
        </w:rPr>
        <w:t>Students’ Academic Achievement before and after the Intervention</w:t>
      </w:r>
    </w:p>
    <w:p w14:paraId="610B214E" w14:textId="77777777" w:rsidR="00842E2E" w:rsidRDefault="00000000">
      <w:pPr>
        <w:spacing w:after="120" w:line="312" w:lineRule="auto"/>
        <w:ind w:firstLine="432"/>
        <w:jc w:val="both"/>
      </w:pPr>
      <w:r>
        <w:t>The pretest results showed that the experimental and control groups had relatively similar academic achievement before the intervention. The experimental group obtained a mean score of 61.42 with a standard deviation of 8.36, while the control group obtained a mean score of 60.87 with a standard deviation of 8.21. The independent-sample t-test showed no significant difference between the groups before the intervention, t(122) = 0.37, p = .711. This indicates that both groups had comparable initial achievement.</w:t>
      </w:r>
    </w:p>
    <w:p w14:paraId="03098F32" w14:textId="77777777" w:rsidR="00842E2E" w:rsidRDefault="00000000">
      <w:pPr>
        <w:spacing w:after="120" w:line="312" w:lineRule="auto"/>
        <w:ind w:firstLine="432"/>
        <w:jc w:val="both"/>
      </w:pPr>
      <w:r>
        <w:t>After eight weeks, the posttest results showed that the experimental group achieved higher learning outcomes than the control group. The experimental group obtained a mean score of 80.35 with a standard deviation of 7.64, while the control group obtained a mean score of 70.14 with a standard deviation of 8.02. The independent-sample t-test showed a significant difference between the groups, t(122) = 7.27, p &lt; .001. The effect size was Cohen’s d = 1.30, indicating a large effect.</w:t>
      </w:r>
    </w:p>
    <w:p w14:paraId="20C72D2F" w14:textId="77777777" w:rsidR="00842E2E" w:rsidRDefault="00000000">
      <w:pPr>
        <w:spacing w:before="120" w:after="60" w:line="240" w:lineRule="auto"/>
      </w:pPr>
      <w:r>
        <w:t>Table 1. Academic Achievement Scores of Experimental and Control Groups</w:t>
      </w:r>
    </w:p>
    <w:tbl>
      <w:tblPr>
        <w:tblW w:w="0" w:type="auto"/>
        <w:jc w:val="center"/>
        <w:tblLook w:val="04A0" w:firstRow="1" w:lastRow="0" w:firstColumn="1" w:lastColumn="0" w:noHBand="0" w:noVBand="1"/>
      </w:tblPr>
      <w:tblGrid>
        <w:gridCol w:w="1560"/>
        <w:gridCol w:w="1560"/>
        <w:gridCol w:w="1560"/>
        <w:gridCol w:w="1560"/>
        <w:gridCol w:w="1560"/>
        <w:gridCol w:w="1560"/>
      </w:tblGrid>
      <w:tr w:rsidR="00842E2E" w14:paraId="5434E83D" w14:textId="77777777">
        <w:trPr>
          <w:jc w:val="center"/>
        </w:trPr>
        <w:tc>
          <w:tcPr>
            <w:tcW w:w="1560" w:type="dxa"/>
            <w:tcBorders>
              <w:top w:val="single" w:sz="8" w:space="0" w:color="000000"/>
              <w:left w:val="nil"/>
              <w:bottom w:val="single" w:sz="8" w:space="0" w:color="000000"/>
              <w:right w:val="nil"/>
            </w:tcBorders>
            <w:vAlign w:val="center"/>
          </w:tcPr>
          <w:p w14:paraId="141D2A83" w14:textId="77777777" w:rsidR="00842E2E" w:rsidRDefault="00000000">
            <w:pPr>
              <w:jc w:val="center"/>
            </w:pPr>
            <w:r>
              <w:rPr>
                <w:b/>
                <w:sz w:val="18"/>
              </w:rPr>
              <w:t>Group</w:t>
            </w:r>
          </w:p>
        </w:tc>
        <w:tc>
          <w:tcPr>
            <w:tcW w:w="1560" w:type="dxa"/>
            <w:tcBorders>
              <w:top w:val="single" w:sz="8" w:space="0" w:color="000000"/>
              <w:left w:val="nil"/>
              <w:bottom w:val="single" w:sz="8" w:space="0" w:color="000000"/>
              <w:right w:val="nil"/>
            </w:tcBorders>
            <w:vAlign w:val="center"/>
          </w:tcPr>
          <w:p w14:paraId="3DF4A42E" w14:textId="77777777" w:rsidR="00842E2E" w:rsidRDefault="00000000">
            <w:pPr>
              <w:jc w:val="center"/>
            </w:pPr>
            <w:r>
              <w:rPr>
                <w:b/>
                <w:sz w:val="18"/>
              </w:rPr>
              <w:t>Test</w:t>
            </w:r>
          </w:p>
        </w:tc>
        <w:tc>
          <w:tcPr>
            <w:tcW w:w="1560" w:type="dxa"/>
            <w:tcBorders>
              <w:top w:val="single" w:sz="8" w:space="0" w:color="000000"/>
              <w:left w:val="nil"/>
              <w:bottom w:val="single" w:sz="8" w:space="0" w:color="000000"/>
              <w:right w:val="nil"/>
            </w:tcBorders>
            <w:vAlign w:val="center"/>
          </w:tcPr>
          <w:p w14:paraId="6D4B4237" w14:textId="77777777" w:rsidR="00842E2E" w:rsidRDefault="00000000">
            <w:pPr>
              <w:jc w:val="center"/>
            </w:pPr>
            <w:r>
              <w:rPr>
                <w:b/>
                <w:sz w:val="18"/>
              </w:rPr>
              <w:t>N</w:t>
            </w:r>
          </w:p>
        </w:tc>
        <w:tc>
          <w:tcPr>
            <w:tcW w:w="1560" w:type="dxa"/>
            <w:tcBorders>
              <w:top w:val="single" w:sz="8" w:space="0" w:color="000000"/>
              <w:left w:val="nil"/>
              <w:bottom w:val="single" w:sz="8" w:space="0" w:color="000000"/>
              <w:right w:val="nil"/>
            </w:tcBorders>
            <w:vAlign w:val="center"/>
          </w:tcPr>
          <w:p w14:paraId="7B381916" w14:textId="77777777" w:rsidR="00842E2E" w:rsidRDefault="00000000">
            <w:pPr>
              <w:jc w:val="center"/>
            </w:pPr>
            <w:r>
              <w:rPr>
                <w:b/>
                <w:sz w:val="18"/>
              </w:rPr>
              <w:t>Mean</w:t>
            </w:r>
          </w:p>
        </w:tc>
        <w:tc>
          <w:tcPr>
            <w:tcW w:w="1560" w:type="dxa"/>
            <w:tcBorders>
              <w:top w:val="single" w:sz="8" w:space="0" w:color="000000"/>
              <w:left w:val="nil"/>
              <w:bottom w:val="single" w:sz="8" w:space="0" w:color="000000"/>
              <w:right w:val="nil"/>
            </w:tcBorders>
            <w:vAlign w:val="center"/>
          </w:tcPr>
          <w:p w14:paraId="32274A6B" w14:textId="77777777" w:rsidR="00842E2E" w:rsidRDefault="00000000">
            <w:pPr>
              <w:jc w:val="center"/>
            </w:pPr>
            <w:r>
              <w:rPr>
                <w:b/>
                <w:sz w:val="18"/>
              </w:rPr>
              <w:t>SD</w:t>
            </w:r>
          </w:p>
        </w:tc>
        <w:tc>
          <w:tcPr>
            <w:tcW w:w="1560" w:type="dxa"/>
            <w:tcBorders>
              <w:top w:val="single" w:sz="8" w:space="0" w:color="000000"/>
              <w:left w:val="nil"/>
              <w:bottom w:val="single" w:sz="8" w:space="0" w:color="000000"/>
              <w:right w:val="nil"/>
            </w:tcBorders>
            <w:vAlign w:val="center"/>
          </w:tcPr>
          <w:p w14:paraId="285EB43A" w14:textId="77777777" w:rsidR="00842E2E" w:rsidRDefault="00000000">
            <w:pPr>
              <w:jc w:val="center"/>
            </w:pPr>
            <w:r>
              <w:rPr>
                <w:b/>
                <w:sz w:val="18"/>
              </w:rPr>
              <w:t>Interpretation</w:t>
            </w:r>
          </w:p>
        </w:tc>
      </w:tr>
      <w:tr w:rsidR="00842E2E" w14:paraId="485ADF91" w14:textId="77777777">
        <w:trPr>
          <w:jc w:val="center"/>
        </w:trPr>
        <w:tc>
          <w:tcPr>
            <w:tcW w:w="1560" w:type="dxa"/>
            <w:tcBorders>
              <w:top w:val="nil"/>
              <w:left w:val="nil"/>
              <w:bottom w:val="nil"/>
              <w:right w:val="nil"/>
            </w:tcBorders>
            <w:vAlign w:val="center"/>
          </w:tcPr>
          <w:p w14:paraId="0CBE5DD4" w14:textId="77777777" w:rsidR="00842E2E" w:rsidRDefault="00000000">
            <w:r>
              <w:rPr>
                <w:sz w:val="18"/>
              </w:rPr>
              <w:t>Experimental</w:t>
            </w:r>
          </w:p>
        </w:tc>
        <w:tc>
          <w:tcPr>
            <w:tcW w:w="1560" w:type="dxa"/>
            <w:tcBorders>
              <w:top w:val="nil"/>
              <w:left w:val="nil"/>
              <w:bottom w:val="nil"/>
              <w:right w:val="nil"/>
            </w:tcBorders>
            <w:vAlign w:val="center"/>
          </w:tcPr>
          <w:p w14:paraId="7E22568B" w14:textId="77777777" w:rsidR="00842E2E" w:rsidRDefault="00000000">
            <w:r>
              <w:rPr>
                <w:sz w:val="18"/>
              </w:rPr>
              <w:t>Pretest</w:t>
            </w:r>
          </w:p>
        </w:tc>
        <w:tc>
          <w:tcPr>
            <w:tcW w:w="1560" w:type="dxa"/>
            <w:tcBorders>
              <w:top w:val="nil"/>
              <w:left w:val="nil"/>
              <w:bottom w:val="nil"/>
              <w:right w:val="nil"/>
            </w:tcBorders>
            <w:vAlign w:val="center"/>
          </w:tcPr>
          <w:p w14:paraId="065F0C1C" w14:textId="77777777" w:rsidR="00842E2E" w:rsidRDefault="00000000">
            <w:r>
              <w:rPr>
                <w:sz w:val="18"/>
              </w:rPr>
              <w:t>62</w:t>
            </w:r>
          </w:p>
        </w:tc>
        <w:tc>
          <w:tcPr>
            <w:tcW w:w="1560" w:type="dxa"/>
            <w:tcBorders>
              <w:top w:val="nil"/>
              <w:left w:val="nil"/>
              <w:bottom w:val="nil"/>
              <w:right w:val="nil"/>
            </w:tcBorders>
            <w:vAlign w:val="center"/>
          </w:tcPr>
          <w:p w14:paraId="07603A29" w14:textId="77777777" w:rsidR="00842E2E" w:rsidRDefault="00000000">
            <w:r>
              <w:rPr>
                <w:sz w:val="18"/>
              </w:rPr>
              <w:t>61.42</w:t>
            </w:r>
          </w:p>
        </w:tc>
        <w:tc>
          <w:tcPr>
            <w:tcW w:w="1560" w:type="dxa"/>
            <w:tcBorders>
              <w:top w:val="nil"/>
              <w:left w:val="nil"/>
              <w:bottom w:val="nil"/>
              <w:right w:val="nil"/>
            </w:tcBorders>
            <w:vAlign w:val="center"/>
          </w:tcPr>
          <w:p w14:paraId="11A3DBEA" w14:textId="77777777" w:rsidR="00842E2E" w:rsidRDefault="00000000">
            <w:r>
              <w:rPr>
                <w:sz w:val="18"/>
              </w:rPr>
              <w:t>8.36</w:t>
            </w:r>
          </w:p>
        </w:tc>
        <w:tc>
          <w:tcPr>
            <w:tcW w:w="1560" w:type="dxa"/>
            <w:tcBorders>
              <w:top w:val="nil"/>
              <w:left w:val="nil"/>
              <w:bottom w:val="nil"/>
              <w:right w:val="nil"/>
            </w:tcBorders>
            <w:vAlign w:val="center"/>
          </w:tcPr>
          <w:p w14:paraId="56384924" w14:textId="77777777" w:rsidR="00842E2E" w:rsidRDefault="00000000">
            <w:r>
              <w:rPr>
                <w:sz w:val="18"/>
              </w:rPr>
              <w:t>Moderate</w:t>
            </w:r>
          </w:p>
        </w:tc>
      </w:tr>
      <w:tr w:rsidR="00842E2E" w14:paraId="15F00550" w14:textId="77777777">
        <w:trPr>
          <w:jc w:val="center"/>
        </w:trPr>
        <w:tc>
          <w:tcPr>
            <w:tcW w:w="1560" w:type="dxa"/>
            <w:tcBorders>
              <w:top w:val="nil"/>
              <w:left w:val="nil"/>
              <w:bottom w:val="nil"/>
              <w:right w:val="nil"/>
            </w:tcBorders>
            <w:vAlign w:val="center"/>
          </w:tcPr>
          <w:p w14:paraId="613F9052" w14:textId="77777777" w:rsidR="00842E2E" w:rsidRDefault="00000000">
            <w:r>
              <w:rPr>
                <w:sz w:val="18"/>
              </w:rPr>
              <w:t>Experimental</w:t>
            </w:r>
          </w:p>
        </w:tc>
        <w:tc>
          <w:tcPr>
            <w:tcW w:w="1560" w:type="dxa"/>
            <w:tcBorders>
              <w:top w:val="nil"/>
              <w:left w:val="nil"/>
              <w:bottom w:val="nil"/>
              <w:right w:val="nil"/>
            </w:tcBorders>
            <w:vAlign w:val="center"/>
          </w:tcPr>
          <w:p w14:paraId="5E90810A" w14:textId="77777777" w:rsidR="00842E2E" w:rsidRDefault="00000000">
            <w:r>
              <w:rPr>
                <w:sz w:val="18"/>
              </w:rPr>
              <w:t>Posttest</w:t>
            </w:r>
          </w:p>
        </w:tc>
        <w:tc>
          <w:tcPr>
            <w:tcW w:w="1560" w:type="dxa"/>
            <w:tcBorders>
              <w:top w:val="nil"/>
              <w:left w:val="nil"/>
              <w:bottom w:val="nil"/>
              <w:right w:val="nil"/>
            </w:tcBorders>
            <w:vAlign w:val="center"/>
          </w:tcPr>
          <w:p w14:paraId="68B34202" w14:textId="77777777" w:rsidR="00842E2E" w:rsidRDefault="00000000">
            <w:r>
              <w:rPr>
                <w:sz w:val="18"/>
              </w:rPr>
              <w:t>62</w:t>
            </w:r>
          </w:p>
        </w:tc>
        <w:tc>
          <w:tcPr>
            <w:tcW w:w="1560" w:type="dxa"/>
            <w:tcBorders>
              <w:top w:val="nil"/>
              <w:left w:val="nil"/>
              <w:bottom w:val="nil"/>
              <w:right w:val="nil"/>
            </w:tcBorders>
            <w:vAlign w:val="center"/>
          </w:tcPr>
          <w:p w14:paraId="3FF83DB7" w14:textId="77777777" w:rsidR="00842E2E" w:rsidRDefault="00000000">
            <w:r>
              <w:rPr>
                <w:sz w:val="18"/>
              </w:rPr>
              <w:t>80.35</w:t>
            </w:r>
          </w:p>
        </w:tc>
        <w:tc>
          <w:tcPr>
            <w:tcW w:w="1560" w:type="dxa"/>
            <w:tcBorders>
              <w:top w:val="nil"/>
              <w:left w:val="nil"/>
              <w:bottom w:val="nil"/>
              <w:right w:val="nil"/>
            </w:tcBorders>
            <w:vAlign w:val="center"/>
          </w:tcPr>
          <w:p w14:paraId="31645A0B" w14:textId="77777777" w:rsidR="00842E2E" w:rsidRDefault="00000000">
            <w:r>
              <w:rPr>
                <w:sz w:val="18"/>
              </w:rPr>
              <w:t>7.64</w:t>
            </w:r>
          </w:p>
        </w:tc>
        <w:tc>
          <w:tcPr>
            <w:tcW w:w="1560" w:type="dxa"/>
            <w:tcBorders>
              <w:top w:val="nil"/>
              <w:left w:val="nil"/>
              <w:bottom w:val="nil"/>
              <w:right w:val="nil"/>
            </w:tcBorders>
            <w:vAlign w:val="center"/>
          </w:tcPr>
          <w:p w14:paraId="71DF1330" w14:textId="77777777" w:rsidR="00842E2E" w:rsidRDefault="00000000">
            <w:r>
              <w:rPr>
                <w:sz w:val="18"/>
              </w:rPr>
              <w:t>High</w:t>
            </w:r>
          </w:p>
        </w:tc>
      </w:tr>
      <w:tr w:rsidR="00842E2E" w14:paraId="298548DB" w14:textId="77777777">
        <w:trPr>
          <w:jc w:val="center"/>
        </w:trPr>
        <w:tc>
          <w:tcPr>
            <w:tcW w:w="1560" w:type="dxa"/>
            <w:tcBorders>
              <w:top w:val="nil"/>
              <w:left w:val="nil"/>
              <w:bottom w:val="nil"/>
              <w:right w:val="nil"/>
            </w:tcBorders>
            <w:vAlign w:val="center"/>
          </w:tcPr>
          <w:p w14:paraId="34087EB1" w14:textId="77777777" w:rsidR="00842E2E" w:rsidRDefault="00000000">
            <w:r>
              <w:rPr>
                <w:sz w:val="18"/>
              </w:rPr>
              <w:lastRenderedPageBreak/>
              <w:t>Control</w:t>
            </w:r>
          </w:p>
        </w:tc>
        <w:tc>
          <w:tcPr>
            <w:tcW w:w="1560" w:type="dxa"/>
            <w:tcBorders>
              <w:top w:val="nil"/>
              <w:left w:val="nil"/>
              <w:bottom w:val="nil"/>
              <w:right w:val="nil"/>
            </w:tcBorders>
            <w:vAlign w:val="center"/>
          </w:tcPr>
          <w:p w14:paraId="44F121B8" w14:textId="77777777" w:rsidR="00842E2E" w:rsidRDefault="00000000">
            <w:r>
              <w:rPr>
                <w:sz w:val="18"/>
              </w:rPr>
              <w:t>Pretest</w:t>
            </w:r>
          </w:p>
        </w:tc>
        <w:tc>
          <w:tcPr>
            <w:tcW w:w="1560" w:type="dxa"/>
            <w:tcBorders>
              <w:top w:val="nil"/>
              <w:left w:val="nil"/>
              <w:bottom w:val="nil"/>
              <w:right w:val="nil"/>
            </w:tcBorders>
            <w:vAlign w:val="center"/>
          </w:tcPr>
          <w:p w14:paraId="71A76C61" w14:textId="77777777" w:rsidR="00842E2E" w:rsidRDefault="00000000">
            <w:r>
              <w:rPr>
                <w:sz w:val="18"/>
              </w:rPr>
              <w:t>62</w:t>
            </w:r>
          </w:p>
        </w:tc>
        <w:tc>
          <w:tcPr>
            <w:tcW w:w="1560" w:type="dxa"/>
            <w:tcBorders>
              <w:top w:val="nil"/>
              <w:left w:val="nil"/>
              <w:bottom w:val="nil"/>
              <w:right w:val="nil"/>
            </w:tcBorders>
            <w:vAlign w:val="center"/>
          </w:tcPr>
          <w:p w14:paraId="3EF5AB97" w14:textId="77777777" w:rsidR="00842E2E" w:rsidRDefault="00000000">
            <w:r>
              <w:rPr>
                <w:sz w:val="18"/>
              </w:rPr>
              <w:t>60.87</w:t>
            </w:r>
          </w:p>
        </w:tc>
        <w:tc>
          <w:tcPr>
            <w:tcW w:w="1560" w:type="dxa"/>
            <w:tcBorders>
              <w:top w:val="nil"/>
              <w:left w:val="nil"/>
              <w:bottom w:val="nil"/>
              <w:right w:val="nil"/>
            </w:tcBorders>
            <w:vAlign w:val="center"/>
          </w:tcPr>
          <w:p w14:paraId="71C49E56" w14:textId="77777777" w:rsidR="00842E2E" w:rsidRDefault="00000000">
            <w:r>
              <w:rPr>
                <w:sz w:val="18"/>
              </w:rPr>
              <w:t>8.21</w:t>
            </w:r>
          </w:p>
        </w:tc>
        <w:tc>
          <w:tcPr>
            <w:tcW w:w="1560" w:type="dxa"/>
            <w:tcBorders>
              <w:top w:val="nil"/>
              <w:left w:val="nil"/>
              <w:bottom w:val="nil"/>
              <w:right w:val="nil"/>
            </w:tcBorders>
            <w:vAlign w:val="center"/>
          </w:tcPr>
          <w:p w14:paraId="1EFB4B52" w14:textId="77777777" w:rsidR="00842E2E" w:rsidRDefault="00000000">
            <w:r>
              <w:rPr>
                <w:sz w:val="18"/>
              </w:rPr>
              <w:t>Moderate</w:t>
            </w:r>
          </w:p>
        </w:tc>
      </w:tr>
      <w:tr w:rsidR="00842E2E" w14:paraId="31ADBDA3" w14:textId="77777777">
        <w:trPr>
          <w:jc w:val="center"/>
        </w:trPr>
        <w:tc>
          <w:tcPr>
            <w:tcW w:w="1560" w:type="dxa"/>
            <w:tcBorders>
              <w:top w:val="nil"/>
              <w:left w:val="nil"/>
              <w:bottom w:val="single" w:sz="8" w:space="0" w:color="000000"/>
              <w:right w:val="nil"/>
            </w:tcBorders>
            <w:vAlign w:val="center"/>
          </w:tcPr>
          <w:p w14:paraId="7948B8A5" w14:textId="77777777" w:rsidR="00842E2E" w:rsidRDefault="00000000">
            <w:r>
              <w:rPr>
                <w:sz w:val="18"/>
              </w:rPr>
              <w:t>Control</w:t>
            </w:r>
          </w:p>
        </w:tc>
        <w:tc>
          <w:tcPr>
            <w:tcW w:w="1560" w:type="dxa"/>
            <w:tcBorders>
              <w:top w:val="nil"/>
              <w:left w:val="nil"/>
              <w:bottom w:val="single" w:sz="8" w:space="0" w:color="000000"/>
              <w:right w:val="nil"/>
            </w:tcBorders>
            <w:vAlign w:val="center"/>
          </w:tcPr>
          <w:p w14:paraId="75E08FE5" w14:textId="77777777" w:rsidR="00842E2E" w:rsidRDefault="00000000">
            <w:r>
              <w:rPr>
                <w:sz w:val="18"/>
              </w:rPr>
              <w:t>Posttest</w:t>
            </w:r>
          </w:p>
        </w:tc>
        <w:tc>
          <w:tcPr>
            <w:tcW w:w="1560" w:type="dxa"/>
            <w:tcBorders>
              <w:top w:val="nil"/>
              <w:left w:val="nil"/>
              <w:bottom w:val="single" w:sz="8" w:space="0" w:color="000000"/>
              <w:right w:val="nil"/>
            </w:tcBorders>
            <w:vAlign w:val="center"/>
          </w:tcPr>
          <w:p w14:paraId="42FD2B11" w14:textId="77777777" w:rsidR="00842E2E" w:rsidRDefault="00000000">
            <w:r>
              <w:rPr>
                <w:sz w:val="18"/>
              </w:rPr>
              <w:t>62</w:t>
            </w:r>
          </w:p>
        </w:tc>
        <w:tc>
          <w:tcPr>
            <w:tcW w:w="1560" w:type="dxa"/>
            <w:tcBorders>
              <w:top w:val="nil"/>
              <w:left w:val="nil"/>
              <w:bottom w:val="single" w:sz="8" w:space="0" w:color="000000"/>
              <w:right w:val="nil"/>
            </w:tcBorders>
            <w:vAlign w:val="center"/>
          </w:tcPr>
          <w:p w14:paraId="056A1427" w14:textId="77777777" w:rsidR="00842E2E" w:rsidRDefault="00000000">
            <w:r>
              <w:rPr>
                <w:sz w:val="18"/>
              </w:rPr>
              <w:t>70.14</w:t>
            </w:r>
          </w:p>
        </w:tc>
        <w:tc>
          <w:tcPr>
            <w:tcW w:w="1560" w:type="dxa"/>
            <w:tcBorders>
              <w:top w:val="nil"/>
              <w:left w:val="nil"/>
              <w:bottom w:val="single" w:sz="8" w:space="0" w:color="000000"/>
              <w:right w:val="nil"/>
            </w:tcBorders>
            <w:vAlign w:val="center"/>
          </w:tcPr>
          <w:p w14:paraId="5193E200" w14:textId="77777777" w:rsidR="00842E2E" w:rsidRDefault="00000000">
            <w:r>
              <w:rPr>
                <w:sz w:val="18"/>
              </w:rPr>
              <w:t>8.02</w:t>
            </w:r>
          </w:p>
        </w:tc>
        <w:tc>
          <w:tcPr>
            <w:tcW w:w="1560" w:type="dxa"/>
            <w:tcBorders>
              <w:top w:val="nil"/>
              <w:left w:val="nil"/>
              <w:bottom w:val="single" w:sz="8" w:space="0" w:color="000000"/>
              <w:right w:val="nil"/>
            </w:tcBorders>
            <w:vAlign w:val="center"/>
          </w:tcPr>
          <w:p w14:paraId="3151FEEE" w14:textId="77777777" w:rsidR="00842E2E" w:rsidRDefault="00000000">
            <w:r>
              <w:rPr>
                <w:sz w:val="18"/>
              </w:rPr>
              <w:t>Moderate to high</w:t>
            </w:r>
          </w:p>
        </w:tc>
      </w:tr>
    </w:tbl>
    <w:p w14:paraId="7150F37F" w14:textId="77777777" w:rsidR="00842E2E" w:rsidRDefault="00000000">
      <w:pPr>
        <w:spacing w:after="120" w:line="240" w:lineRule="auto"/>
      </w:pPr>
      <w:r>
        <w:rPr>
          <w:sz w:val="20"/>
        </w:rPr>
        <w:t>Source: Processed from student achievement test data.</w:t>
      </w:r>
    </w:p>
    <w:p w14:paraId="499A54CF" w14:textId="77777777" w:rsidR="00842E2E" w:rsidRDefault="00000000">
      <w:pPr>
        <w:spacing w:after="120" w:line="312" w:lineRule="auto"/>
        <w:ind w:firstLine="432"/>
        <w:jc w:val="both"/>
      </w:pPr>
      <w:r>
        <w:t>The paired-sample t-test showed that the experimental group improved significantly from pretest to posttest, t(61) = 18.64, p &lt; .001. The control group also improved significantly, t(61) = 9.42, p &lt; .001, but the improvement was smaller. The experimental group achieved a mean gain of 18.93, while the control group achieved a mean gain of 9.27. The normalized gain score of the experimental group was 0.49, categorized as moderate, while the control group obtained a normalized gain of 0.24, categorized as low to moderate.</w:t>
      </w:r>
    </w:p>
    <w:p w14:paraId="40B464D6" w14:textId="77777777" w:rsidR="00842E2E" w:rsidRDefault="00000000">
      <w:pPr>
        <w:spacing w:before="120" w:after="60" w:line="240" w:lineRule="auto"/>
      </w:pPr>
      <w:r>
        <w:t>Table 2. Gain Scores and Statistical Comparison</w:t>
      </w:r>
    </w:p>
    <w:tbl>
      <w:tblPr>
        <w:tblW w:w="0" w:type="auto"/>
        <w:jc w:val="center"/>
        <w:tblLook w:val="04A0" w:firstRow="1" w:lastRow="0" w:firstColumn="1" w:lastColumn="0" w:noHBand="0" w:noVBand="1"/>
      </w:tblPr>
      <w:tblGrid>
        <w:gridCol w:w="2340"/>
        <w:gridCol w:w="2340"/>
        <w:gridCol w:w="2340"/>
        <w:gridCol w:w="2340"/>
      </w:tblGrid>
      <w:tr w:rsidR="00842E2E" w14:paraId="61794317" w14:textId="77777777">
        <w:trPr>
          <w:jc w:val="center"/>
        </w:trPr>
        <w:tc>
          <w:tcPr>
            <w:tcW w:w="2340" w:type="dxa"/>
            <w:tcBorders>
              <w:top w:val="single" w:sz="8" w:space="0" w:color="000000"/>
              <w:left w:val="nil"/>
              <w:bottom w:val="single" w:sz="8" w:space="0" w:color="000000"/>
              <w:right w:val="nil"/>
            </w:tcBorders>
            <w:vAlign w:val="center"/>
          </w:tcPr>
          <w:p w14:paraId="638D4533" w14:textId="77777777" w:rsidR="00842E2E" w:rsidRDefault="00000000">
            <w:pPr>
              <w:jc w:val="center"/>
            </w:pPr>
            <w:r>
              <w:rPr>
                <w:b/>
                <w:sz w:val="18"/>
              </w:rPr>
              <w:t>Indicator</w:t>
            </w:r>
          </w:p>
        </w:tc>
        <w:tc>
          <w:tcPr>
            <w:tcW w:w="2340" w:type="dxa"/>
            <w:tcBorders>
              <w:top w:val="single" w:sz="8" w:space="0" w:color="000000"/>
              <w:left w:val="nil"/>
              <w:bottom w:val="single" w:sz="8" w:space="0" w:color="000000"/>
              <w:right w:val="nil"/>
            </w:tcBorders>
            <w:vAlign w:val="center"/>
          </w:tcPr>
          <w:p w14:paraId="3DA49F1A" w14:textId="77777777" w:rsidR="00842E2E" w:rsidRDefault="00000000">
            <w:pPr>
              <w:jc w:val="center"/>
            </w:pPr>
            <w:r>
              <w:rPr>
                <w:b/>
                <w:sz w:val="18"/>
              </w:rPr>
              <w:t>Experimental Group</w:t>
            </w:r>
          </w:p>
        </w:tc>
        <w:tc>
          <w:tcPr>
            <w:tcW w:w="2340" w:type="dxa"/>
            <w:tcBorders>
              <w:top w:val="single" w:sz="8" w:space="0" w:color="000000"/>
              <w:left w:val="nil"/>
              <w:bottom w:val="single" w:sz="8" w:space="0" w:color="000000"/>
              <w:right w:val="nil"/>
            </w:tcBorders>
            <w:vAlign w:val="center"/>
          </w:tcPr>
          <w:p w14:paraId="6F787FA9" w14:textId="77777777" w:rsidR="00842E2E" w:rsidRDefault="00000000">
            <w:pPr>
              <w:jc w:val="center"/>
            </w:pPr>
            <w:r>
              <w:rPr>
                <w:b/>
                <w:sz w:val="18"/>
              </w:rPr>
              <w:t>Control Group</w:t>
            </w:r>
          </w:p>
        </w:tc>
        <w:tc>
          <w:tcPr>
            <w:tcW w:w="2340" w:type="dxa"/>
            <w:tcBorders>
              <w:top w:val="single" w:sz="8" w:space="0" w:color="000000"/>
              <w:left w:val="nil"/>
              <w:bottom w:val="single" w:sz="8" w:space="0" w:color="000000"/>
              <w:right w:val="nil"/>
            </w:tcBorders>
            <w:vAlign w:val="center"/>
          </w:tcPr>
          <w:p w14:paraId="7CC660B7" w14:textId="77777777" w:rsidR="00842E2E" w:rsidRDefault="00000000">
            <w:pPr>
              <w:jc w:val="center"/>
            </w:pPr>
            <w:r>
              <w:rPr>
                <w:b/>
                <w:sz w:val="18"/>
              </w:rPr>
              <w:t>Statistical Result</w:t>
            </w:r>
          </w:p>
        </w:tc>
      </w:tr>
      <w:tr w:rsidR="00842E2E" w14:paraId="1069DA5D" w14:textId="77777777">
        <w:trPr>
          <w:jc w:val="center"/>
        </w:trPr>
        <w:tc>
          <w:tcPr>
            <w:tcW w:w="2340" w:type="dxa"/>
            <w:tcBorders>
              <w:top w:val="nil"/>
              <w:left w:val="nil"/>
              <w:bottom w:val="nil"/>
              <w:right w:val="nil"/>
            </w:tcBorders>
            <w:vAlign w:val="center"/>
          </w:tcPr>
          <w:p w14:paraId="040FB7E1" w14:textId="77777777" w:rsidR="00842E2E" w:rsidRDefault="00000000">
            <w:r>
              <w:rPr>
                <w:sz w:val="18"/>
              </w:rPr>
              <w:t>Mean gain</w:t>
            </w:r>
          </w:p>
        </w:tc>
        <w:tc>
          <w:tcPr>
            <w:tcW w:w="2340" w:type="dxa"/>
            <w:tcBorders>
              <w:top w:val="nil"/>
              <w:left w:val="nil"/>
              <w:bottom w:val="nil"/>
              <w:right w:val="nil"/>
            </w:tcBorders>
            <w:vAlign w:val="center"/>
          </w:tcPr>
          <w:p w14:paraId="6A0DE324" w14:textId="77777777" w:rsidR="00842E2E" w:rsidRDefault="00000000">
            <w:r>
              <w:rPr>
                <w:sz w:val="18"/>
              </w:rPr>
              <w:t>18.93</w:t>
            </w:r>
          </w:p>
        </w:tc>
        <w:tc>
          <w:tcPr>
            <w:tcW w:w="2340" w:type="dxa"/>
            <w:tcBorders>
              <w:top w:val="nil"/>
              <w:left w:val="nil"/>
              <w:bottom w:val="nil"/>
              <w:right w:val="nil"/>
            </w:tcBorders>
            <w:vAlign w:val="center"/>
          </w:tcPr>
          <w:p w14:paraId="31CFC2F5" w14:textId="77777777" w:rsidR="00842E2E" w:rsidRDefault="00000000">
            <w:r>
              <w:rPr>
                <w:sz w:val="18"/>
              </w:rPr>
              <w:t>9.27</w:t>
            </w:r>
          </w:p>
        </w:tc>
        <w:tc>
          <w:tcPr>
            <w:tcW w:w="2340" w:type="dxa"/>
            <w:tcBorders>
              <w:top w:val="nil"/>
              <w:left w:val="nil"/>
              <w:bottom w:val="nil"/>
              <w:right w:val="nil"/>
            </w:tcBorders>
            <w:vAlign w:val="center"/>
          </w:tcPr>
          <w:p w14:paraId="0A76F38B" w14:textId="77777777" w:rsidR="00842E2E" w:rsidRDefault="00000000">
            <w:r>
              <w:rPr>
                <w:sz w:val="18"/>
              </w:rPr>
              <w:t>Experimental group higher</w:t>
            </w:r>
          </w:p>
        </w:tc>
      </w:tr>
      <w:tr w:rsidR="00842E2E" w14:paraId="2645274E" w14:textId="77777777">
        <w:trPr>
          <w:jc w:val="center"/>
        </w:trPr>
        <w:tc>
          <w:tcPr>
            <w:tcW w:w="2340" w:type="dxa"/>
            <w:tcBorders>
              <w:top w:val="nil"/>
              <w:left w:val="nil"/>
              <w:bottom w:val="nil"/>
              <w:right w:val="nil"/>
            </w:tcBorders>
            <w:vAlign w:val="center"/>
          </w:tcPr>
          <w:p w14:paraId="47EAE479" w14:textId="77777777" w:rsidR="00842E2E" w:rsidRDefault="00000000">
            <w:r>
              <w:rPr>
                <w:sz w:val="18"/>
              </w:rPr>
              <w:t>Normalized gain</w:t>
            </w:r>
          </w:p>
        </w:tc>
        <w:tc>
          <w:tcPr>
            <w:tcW w:w="2340" w:type="dxa"/>
            <w:tcBorders>
              <w:top w:val="nil"/>
              <w:left w:val="nil"/>
              <w:bottom w:val="nil"/>
              <w:right w:val="nil"/>
            </w:tcBorders>
            <w:vAlign w:val="center"/>
          </w:tcPr>
          <w:p w14:paraId="194BC2C3" w14:textId="77777777" w:rsidR="00842E2E" w:rsidRDefault="00000000">
            <w:r>
              <w:rPr>
                <w:sz w:val="18"/>
              </w:rPr>
              <w:t>0.49</w:t>
            </w:r>
          </w:p>
        </w:tc>
        <w:tc>
          <w:tcPr>
            <w:tcW w:w="2340" w:type="dxa"/>
            <w:tcBorders>
              <w:top w:val="nil"/>
              <w:left w:val="nil"/>
              <w:bottom w:val="nil"/>
              <w:right w:val="nil"/>
            </w:tcBorders>
            <w:vAlign w:val="center"/>
          </w:tcPr>
          <w:p w14:paraId="0A7B6D4A" w14:textId="77777777" w:rsidR="00842E2E" w:rsidRDefault="00000000">
            <w:r>
              <w:rPr>
                <w:sz w:val="18"/>
              </w:rPr>
              <w:t>0.24</w:t>
            </w:r>
          </w:p>
        </w:tc>
        <w:tc>
          <w:tcPr>
            <w:tcW w:w="2340" w:type="dxa"/>
            <w:tcBorders>
              <w:top w:val="nil"/>
              <w:left w:val="nil"/>
              <w:bottom w:val="nil"/>
              <w:right w:val="nil"/>
            </w:tcBorders>
            <w:vAlign w:val="center"/>
          </w:tcPr>
          <w:p w14:paraId="3C1C5712" w14:textId="77777777" w:rsidR="00842E2E" w:rsidRDefault="00000000">
            <w:r>
              <w:rPr>
                <w:sz w:val="18"/>
              </w:rPr>
              <w:t>Moderate vs. low-to-moderate</w:t>
            </w:r>
          </w:p>
        </w:tc>
      </w:tr>
      <w:tr w:rsidR="00842E2E" w14:paraId="30D462E6" w14:textId="77777777">
        <w:trPr>
          <w:jc w:val="center"/>
        </w:trPr>
        <w:tc>
          <w:tcPr>
            <w:tcW w:w="2340" w:type="dxa"/>
            <w:tcBorders>
              <w:top w:val="nil"/>
              <w:left w:val="nil"/>
              <w:bottom w:val="nil"/>
              <w:right w:val="nil"/>
            </w:tcBorders>
            <w:vAlign w:val="center"/>
          </w:tcPr>
          <w:p w14:paraId="4601A60A" w14:textId="77777777" w:rsidR="00842E2E" w:rsidRDefault="00000000">
            <w:r>
              <w:rPr>
                <w:sz w:val="18"/>
              </w:rPr>
              <w:t>Posttest comparison</w:t>
            </w:r>
          </w:p>
        </w:tc>
        <w:tc>
          <w:tcPr>
            <w:tcW w:w="2340" w:type="dxa"/>
            <w:tcBorders>
              <w:top w:val="nil"/>
              <w:left w:val="nil"/>
              <w:bottom w:val="nil"/>
              <w:right w:val="nil"/>
            </w:tcBorders>
            <w:vAlign w:val="center"/>
          </w:tcPr>
          <w:p w14:paraId="484BAB25" w14:textId="77777777" w:rsidR="00842E2E" w:rsidRDefault="00000000">
            <w:r>
              <w:rPr>
                <w:sz w:val="18"/>
              </w:rPr>
              <w:t>80.35</w:t>
            </w:r>
          </w:p>
        </w:tc>
        <w:tc>
          <w:tcPr>
            <w:tcW w:w="2340" w:type="dxa"/>
            <w:tcBorders>
              <w:top w:val="nil"/>
              <w:left w:val="nil"/>
              <w:bottom w:val="nil"/>
              <w:right w:val="nil"/>
            </w:tcBorders>
            <w:vAlign w:val="center"/>
          </w:tcPr>
          <w:p w14:paraId="19F1784B" w14:textId="77777777" w:rsidR="00842E2E" w:rsidRDefault="00000000">
            <w:r>
              <w:rPr>
                <w:sz w:val="18"/>
              </w:rPr>
              <w:t>70.14</w:t>
            </w:r>
          </w:p>
        </w:tc>
        <w:tc>
          <w:tcPr>
            <w:tcW w:w="2340" w:type="dxa"/>
            <w:tcBorders>
              <w:top w:val="nil"/>
              <w:left w:val="nil"/>
              <w:bottom w:val="nil"/>
              <w:right w:val="nil"/>
            </w:tcBorders>
            <w:vAlign w:val="center"/>
          </w:tcPr>
          <w:p w14:paraId="5FA0A485" w14:textId="77777777" w:rsidR="00842E2E" w:rsidRDefault="00000000">
            <w:r>
              <w:rPr>
                <w:sz w:val="18"/>
              </w:rPr>
              <w:t>t(122) = 7.27; p &lt; .001</w:t>
            </w:r>
          </w:p>
        </w:tc>
      </w:tr>
      <w:tr w:rsidR="00842E2E" w14:paraId="44C62B9E" w14:textId="77777777">
        <w:trPr>
          <w:jc w:val="center"/>
        </w:trPr>
        <w:tc>
          <w:tcPr>
            <w:tcW w:w="2340" w:type="dxa"/>
            <w:tcBorders>
              <w:top w:val="nil"/>
              <w:left w:val="nil"/>
              <w:bottom w:val="single" w:sz="8" w:space="0" w:color="000000"/>
              <w:right w:val="nil"/>
            </w:tcBorders>
            <w:vAlign w:val="center"/>
          </w:tcPr>
          <w:p w14:paraId="5EE2F090" w14:textId="77777777" w:rsidR="00842E2E" w:rsidRDefault="00000000">
            <w:r>
              <w:rPr>
                <w:sz w:val="18"/>
              </w:rPr>
              <w:t>Effect size</w:t>
            </w:r>
          </w:p>
        </w:tc>
        <w:tc>
          <w:tcPr>
            <w:tcW w:w="2340" w:type="dxa"/>
            <w:tcBorders>
              <w:top w:val="nil"/>
              <w:left w:val="nil"/>
              <w:bottom w:val="single" w:sz="8" w:space="0" w:color="000000"/>
              <w:right w:val="nil"/>
            </w:tcBorders>
            <w:vAlign w:val="center"/>
          </w:tcPr>
          <w:p w14:paraId="4333AA71" w14:textId="77777777" w:rsidR="00842E2E" w:rsidRDefault="00000000">
            <w:r>
              <w:rPr>
                <w:sz w:val="18"/>
              </w:rPr>
              <w:t>-</w:t>
            </w:r>
          </w:p>
        </w:tc>
        <w:tc>
          <w:tcPr>
            <w:tcW w:w="2340" w:type="dxa"/>
            <w:tcBorders>
              <w:top w:val="nil"/>
              <w:left w:val="nil"/>
              <w:bottom w:val="single" w:sz="8" w:space="0" w:color="000000"/>
              <w:right w:val="nil"/>
            </w:tcBorders>
            <w:vAlign w:val="center"/>
          </w:tcPr>
          <w:p w14:paraId="301E7AA2" w14:textId="77777777" w:rsidR="00842E2E" w:rsidRDefault="00000000">
            <w:r>
              <w:rPr>
                <w:sz w:val="18"/>
              </w:rPr>
              <w:t>-</w:t>
            </w:r>
          </w:p>
        </w:tc>
        <w:tc>
          <w:tcPr>
            <w:tcW w:w="2340" w:type="dxa"/>
            <w:tcBorders>
              <w:top w:val="nil"/>
              <w:left w:val="nil"/>
              <w:bottom w:val="single" w:sz="8" w:space="0" w:color="000000"/>
              <w:right w:val="nil"/>
            </w:tcBorders>
            <w:vAlign w:val="center"/>
          </w:tcPr>
          <w:p w14:paraId="1C535A91" w14:textId="77777777" w:rsidR="00842E2E" w:rsidRDefault="00000000">
            <w:r>
              <w:rPr>
                <w:sz w:val="18"/>
              </w:rPr>
              <w:t>Cohen’s d = 1.30; large effect</w:t>
            </w:r>
          </w:p>
        </w:tc>
      </w:tr>
    </w:tbl>
    <w:p w14:paraId="0184160F" w14:textId="77777777" w:rsidR="00842E2E" w:rsidRDefault="00000000">
      <w:pPr>
        <w:spacing w:after="120" w:line="240" w:lineRule="auto"/>
      </w:pPr>
      <w:r>
        <w:rPr>
          <w:sz w:val="20"/>
        </w:rPr>
        <w:t>Source: Processed from pretest and posttest data.</w:t>
      </w:r>
    </w:p>
    <w:p w14:paraId="434EDFC4" w14:textId="77777777" w:rsidR="00842E2E" w:rsidRDefault="00000000">
      <w:pPr>
        <w:spacing w:after="120" w:line="312" w:lineRule="auto"/>
        <w:ind w:firstLine="432"/>
        <w:jc w:val="both"/>
      </w:pPr>
      <w:r>
        <w:t>These findings indicate that technology-supported differentiated instruction produced stronger academic improvement than conventional instruction. The improvement suggests that students benefited from learning materials and tasks that were adjusted to their readiness levels, learning needs, and pace.</w:t>
      </w:r>
    </w:p>
    <w:p w14:paraId="43EB4363" w14:textId="77777777" w:rsidR="00842E2E" w:rsidRDefault="00000000">
      <w:pPr>
        <w:spacing w:before="120" w:after="120" w:line="312" w:lineRule="auto"/>
      </w:pPr>
      <w:r>
        <w:rPr>
          <w:b/>
        </w:rPr>
        <w:t>Changes in Students’ Learning Engagement</w:t>
      </w:r>
    </w:p>
    <w:p w14:paraId="33850276" w14:textId="77777777" w:rsidR="00842E2E" w:rsidRDefault="00000000">
      <w:pPr>
        <w:spacing w:after="120" w:line="312" w:lineRule="auto"/>
        <w:ind w:firstLine="432"/>
        <w:jc w:val="both"/>
      </w:pPr>
      <w:r>
        <w:t>The learning engagement questionnaire showed that the experimental group experienced greater improvement in engagement than the control group. The experimental group’s mean engagement score increased from 3.12 to 4.08, while the control group increased from 3.09 to 3.45. The independent-sample t-test on posttest engagement scores showed a significant difference, t(122) = 6.81, p &lt; .001.</w:t>
      </w:r>
    </w:p>
    <w:p w14:paraId="10BC2603" w14:textId="77777777" w:rsidR="00842E2E" w:rsidRDefault="00000000">
      <w:pPr>
        <w:spacing w:before="120" w:after="60" w:line="240" w:lineRule="auto"/>
      </w:pPr>
      <w:r>
        <w:t>Table 3. Students’ Learning Engagement Scores</w:t>
      </w:r>
    </w:p>
    <w:tbl>
      <w:tblPr>
        <w:tblW w:w="0" w:type="auto"/>
        <w:jc w:val="center"/>
        <w:tblLook w:val="04A0" w:firstRow="1" w:lastRow="0" w:firstColumn="1" w:lastColumn="0" w:noHBand="0" w:noVBand="1"/>
      </w:tblPr>
      <w:tblGrid>
        <w:gridCol w:w="1872"/>
        <w:gridCol w:w="1872"/>
        <w:gridCol w:w="1872"/>
        <w:gridCol w:w="1872"/>
        <w:gridCol w:w="1872"/>
      </w:tblGrid>
      <w:tr w:rsidR="00842E2E" w14:paraId="046620C5" w14:textId="77777777">
        <w:trPr>
          <w:jc w:val="center"/>
        </w:trPr>
        <w:tc>
          <w:tcPr>
            <w:tcW w:w="1872" w:type="dxa"/>
            <w:tcBorders>
              <w:top w:val="single" w:sz="8" w:space="0" w:color="000000"/>
              <w:left w:val="nil"/>
              <w:bottom w:val="single" w:sz="8" w:space="0" w:color="000000"/>
              <w:right w:val="nil"/>
            </w:tcBorders>
            <w:vAlign w:val="center"/>
          </w:tcPr>
          <w:p w14:paraId="1D0AFCF6" w14:textId="77777777" w:rsidR="00842E2E" w:rsidRDefault="00000000">
            <w:pPr>
              <w:jc w:val="center"/>
            </w:pPr>
            <w:r>
              <w:rPr>
                <w:b/>
                <w:sz w:val="18"/>
              </w:rPr>
              <w:t>Group</w:t>
            </w:r>
          </w:p>
        </w:tc>
        <w:tc>
          <w:tcPr>
            <w:tcW w:w="1872" w:type="dxa"/>
            <w:tcBorders>
              <w:top w:val="single" w:sz="8" w:space="0" w:color="000000"/>
              <w:left w:val="nil"/>
              <w:bottom w:val="single" w:sz="8" w:space="0" w:color="000000"/>
              <w:right w:val="nil"/>
            </w:tcBorders>
            <w:vAlign w:val="center"/>
          </w:tcPr>
          <w:p w14:paraId="499721DD" w14:textId="77777777" w:rsidR="00842E2E" w:rsidRDefault="00000000">
            <w:pPr>
              <w:jc w:val="center"/>
            </w:pPr>
            <w:r>
              <w:rPr>
                <w:b/>
                <w:sz w:val="18"/>
              </w:rPr>
              <w:t>Pretest Mean</w:t>
            </w:r>
          </w:p>
        </w:tc>
        <w:tc>
          <w:tcPr>
            <w:tcW w:w="1872" w:type="dxa"/>
            <w:tcBorders>
              <w:top w:val="single" w:sz="8" w:space="0" w:color="000000"/>
              <w:left w:val="nil"/>
              <w:bottom w:val="single" w:sz="8" w:space="0" w:color="000000"/>
              <w:right w:val="nil"/>
            </w:tcBorders>
            <w:vAlign w:val="center"/>
          </w:tcPr>
          <w:p w14:paraId="45FAF37A" w14:textId="77777777" w:rsidR="00842E2E" w:rsidRDefault="00000000">
            <w:pPr>
              <w:jc w:val="center"/>
            </w:pPr>
            <w:r>
              <w:rPr>
                <w:b/>
                <w:sz w:val="18"/>
              </w:rPr>
              <w:t>Posttest Mean</w:t>
            </w:r>
          </w:p>
        </w:tc>
        <w:tc>
          <w:tcPr>
            <w:tcW w:w="1872" w:type="dxa"/>
            <w:tcBorders>
              <w:top w:val="single" w:sz="8" w:space="0" w:color="000000"/>
              <w:left w:val="nil"/>
              <w:bottom w:val="single" w:sz="8" w:space="0" w:color="000000"/>
              <w:right w:val="nil"/>
            </w:tcBorders>
            <w:vAlign w:val="center"/>
          </w:tcPr>
          <w:p w14:paraId="475B6124" w14:textId="77777777" w:rsidR="00842E2E" w:rsidRDefault="00000000">
            <w:pPr>
              <w:jc w:val="center"/>
            </w:pPr>
            <w:r>
              <w:rPr>
                <w:b/>
                <w:sz w:val="18"/>
              </w:rPr>
              <w:t>Gain</w:t>
            </w:r>
          </w:p>
        </w:tc>
        <w:tc>
          <w:tcPr>
            <w:tcW w:w="1872" w:type="dxa"/>
            <w:tcBorders>
              <w:top w:val="single" w:sz="8" w:space="0" w:color="000000"/>
              <w:left w:val="nil"/>
              <w:bottom w:val="single" w:sz="8" w:space="0" w:color="000000"/>
              <w:right w:val="nil"/>
            </w:tcBorders>
            <w:vAlign w:val="center"/>
          </w:tcPr>
          <w:p w14:paraId="17AA8968" w14:textId="77777777" w:rsidR="00842E2E" w:rsidRDefault="00000000">
            <w:pPr>
              <w:jc w:val="center"/>
            </w:pPr>
            <w:r>
              <w:rPr>
                <w:b/>
                <w:sz w:val="18"/>
              </w:rPr>
              <w:t>Interpretation</w:t>
            </w:r>
          </w:p>
        </w:tc>
      </w:tr>
      <w:tr w:rsidR="00842E2E" w14:paraId="34F5DCBC" w14:textId="77777777">
        <w:trPr>
          <w:jc w:val="center"/>
        </w:trPr>
        <w:tc>
          <w:tcPr>
            <w:tcW w:w="1872" w:type="dxa"/>
            <w:tcBorders>
              <w:top w:val="nil"/>
              <w:left w:val="nil"/>
              <w:bottom w:val="nil"/>
              <w:right w:val="nil"/>
            </w:tcBorders>
            <w:vAlign w:val="center"/>
          </w:tcPr>
          <w:p w14:paraId="5D03CBB4" w14:textId="77777777" w:rsidR="00842E2E" w:rsidRDefault="00000000">
            <w:r>
              <w:rPr>
                <w:sz w:val="18"/>
              </w:rPr>
              <w:t>Experimental</w:t>
            </w:r>
          </w:p>
        </w:tc>
        <w:tc>
          <w:tcPr>
            <w:tcW w:w="1872" w:type="dxa"/>
            <w:tcBorders>
              <w:top w:val="nil"/>
              <w:left w:val="nil"/>
              <w:bottom w:val="nil"/>
              <w:right w:val="nil"/>
            </w:tcBorders>
            <w:vAlign w:val="center"/>
          </w:tcPr>
          <w:p w14:paraId="75AAA3AF" w14:textId="77777777" w:rsidR="00842E2E" w:rsidRDefault="00000000">
            <w:r>
              <w:rPr>
                <w:sz w:val="18"/>
              </w:rPr>
              <w:t>3.12</w:t>
            </w:r>
          </w:p>
        </w:tc>
        <w:tc>
          <w:tcPr>
            <w:tcW w:w="1872" w:type="dxa"/>
            <w:tcBorders>
              <w:top w:val="nil"/>
              <w:left w:val="nil"/>
              <w:bottom w:val="nil"/>
              <w:right w:val="nil"/>
            </w:tcBorders>
            <w:vAlign w:val="center"/>
          </w:tcPr>
          <w:p w14:paraId="2E5674F9" w14:textId="77777777" w:rsidR="00842E2E" w:rsidRDefault="00000000">
            <w:r>
              <w:rPr>
                <w:sz w:val="18"/>
              </w:rPr>
              <w:t>4.08</w:t>
            </w:r>
          </w:p>
        </w:tc>
        <w:tc>
          <w:tcPr>
            <w:tcW w:w="1872" w:type="dxa"/>
            <w:tcBorders>
              <w:top w:val="nil"/>
              <w:left w:val="nil"/>
              <w:bottom w:val="nil"/>
              <w:right w:val="nil"/>
            </w:tcBorders>
            <w:vAlign w:val="center"/>
          </w:tcPr>
          <w:p w14:paraId="45D24CCC" w14:textId="77777777" w:rsidR="00842E2E" w:rsidRDefault="00000000">
            <w:r>
              <w:rPr>
                <w:sz w:val="18"/>
              </w:rPr>
              <w:t>0.96</w:t>
            </w:r>
          </w:p>
        </w:tc>
        <w:tc>
          <w:tcPr>
            <w:tcW w:w="1872" w:type="dxa"/>
            <w:tcBorders>
              <w:top w:val="nil"/>
              <w:left w:val="nil"/>
              <w:bottom w:val="nil"/>
              <w:right w:val="nil"/>
            </w:tcBorders>
            <w:vAlign w:val="center"/>
          </w:tcPr>
          <w:p w14:paraId="2FD90DDE" w14:textId="77777777" w:rsidR="00842E2E" w:rsidRDefault="00000000">
            <w:r>
              <w:rPr>
                <w:sz w:val="18"/>
              </w:rPr>
              <w:t>High improvement</w:t>
            </w:r>
          </w:p>
        </w:tc>
      </w:tr>
      <w:tr w:rsidR="00842E2E" w14:paraId="4E882E44" w14:textId="77777777">
        <w:trPr>
          <w:jc w:val="center"/>
        </w:trPr>
        <w:tc>
          <w:tcPr>
            <w:tcW w:w="1872" w:type="dxa"/>
            <w:tcBorders>
              <w:top w:val="nil"/>
              <w:left w:val="nil"/>
              <w:bottom w:val="single" w:sz="8" w:space="0" w:color="000000"/>
              <w:right w:val="nil"/>
            </w:tcBorders>
            <w:vAlign w:val="center"/>
          </w:tcPr>
          <w:p w14:paraId="5721DF07" w14:textId="77777777" w:rsidR="00842E2E" w:rsidRDefault="00000000">
            <w:r>
              <w:rPr>
                <w:sz w:val="18"/>
              </w:rPr>
              <w:lastRenderedPageBreak/>
              <w:t>Control</w:t>
            </w:r>
          </w:p>
        </w:tc>
        <w:tc>
          <w:tcPr>
            <w:tcW w:w="1872" w:type="dxa"/>
            <w:tcBorders>
              <w:top w:val="nil"/>
              <w:left w:val="nil"/>
              <w:bottom w:val="single" w:sz="8" w:space="0" w:color="000000"/>
              <w:right w:val="nil"/>
            </w:tcBorders>
            <w:vAlign w:val="center"/>
          </w:tcPr>
          <w:p w14:paraId="4975FB5D" w14:textId="77777777" w:rsidR="00842E2E" w:rsidRDefault="00000000">
            <w:r>
              <w:rPr>
                <w:sz w:val="18"/>
              </w:rPr>
              <w:t>3.09</w:t>
            </w:r>
          </w:p>
        </w:tc>
        <w:tc>
          <w:tcPr>
            <w:tcW w:w="1872" w:type="dxa"/>
            <w:tcBorders>
              <w:top w:val="nil"/>
              <w:left w:val="nil"/>
              <w:bottom w:val="single" w:sz="8" w:space="0" w:color="000000"/>
              <w:right w:val="nil"/>
            </w:tcBorders>
            <w:vAlign w:val="center"/>
          </w:tcPr>
          <w:p w14:paraId="4E39073C" w14:textId="77777777" w:rsidR="00842E2E" w:rsidRDefault="00000000">
            <w:r>
              <w:rPr>
                <w:sz w:val="18"/>
              </w:rPr>
              <w:t>3.45</w:t>
            </w:r>
          </w:p>
        </w:tc>
        <w:tc>
          <w:tcPr>
            <w:tcW w:w="1872" w:type="dxa"/>
            <w:tcBorders>
              <w:top w:val="nil"/>
              <w:left w:val="nil"/>
              <w:bottom w:val="single" w:sz="8" w:space="0" w:color="000000"/>
              <w:right w:val="nil"/>
            </w:tcBorders>
            <w:vAlign w:val="center"/>
          </w:tcPr>
          <w:p w14:paraId="7CD76A93" w14:textId="77777777" w:rsidR="00842E2E" w:rsidRDefault="00000000">
            <w:r>
              <w:rPr>
                <w:sz w:val="18"/>
              </w:rPr>
              <w:t>0.36</w:t>
            </w:r>
          </w:p>
        </w:tc>
        <w:tc>
          <w:tcPr>
            <w:tcW w:w="1872" w:type="dxa"/>
            <w:tcBorders>
              <w:top w:val="nil"/>
              <w:left w:val="nil"/>
              <w:bottom w:val="single" w:sz="8" w:space="0" w:color="000000"/>
              <w:right w:val="nil"/>
            </w:tcBorders>
            <w:vAlign w:val="center"/>
          </w:tcPr>
          <w:p w14:paraId="6F208B2D" w14:textId="77777777" w:rsidR="00842E2E" w:rsidRDefault="00000000">
            <w:r>
              <w:rPr>
                <w:sz w:val="18"/>
              </w:rPr>
              <w:t>Moderate improvement</w:t>
            </w:r>
          </w:p>
        </w:tc>
      </w:tr>
    </w:tbl>
    <w:p w14:paraId="5963B65A" w14:textId="77777777" w:rsidR="00842E2E" w:rsidRDefault="00000000">
      <w:pPr>
        <w:spacing w:after="120" w:line="240" w:lineRule="auto"/>
      </w:pPr>
      <w:r>
        <w:rPr>
          <w:sz w:val="20"/>
        </w:rPr>
        <w:t>Source: Processed from student engagement questionnaire data.</w:t>
      </w:r>
    </w:p>
    <w:p w14:paraId="615777C1" w14:textId="77777777" w:rsidR="00842E2E" w:rsidRDefault="00000000">
      <w:pPr>
        <w:spacing w:after="120" w:line="312" w:lineRule="auto"/>
        <w:ind w:firstLine="432"/>
        <w:jc w:val="both"/>
      </w:pPr>
      <w:r>
        <w:t>The engagement improvement was visible across behavioral, emotional, and cognitive dimensions. Behavioral engagement improved because students participated more actively in digital tasks, group work, and formative quizzes. Emotional engagement improved because students reported that the lessons felt more interesting and less intimidating. Cognitive engagement improved because students could select appropriate tasks, review materials repeatedly, and reflect on their progress.</w:t>
      </w:r>
    </w:p>
    <w:p w14:paraId="739A17E1" w14:textId="77777777" w:rsidR="00842E2E" w:rsidRDefault="00000000">
      <w:pPr>
        <w:spacing w:after="120" w:line="312" w:lineRule="auto"/>
        <w:ind w:firstLine="432"/>
        <w:jc w:val="both"/>
      </w:pPr>
      <w:r>
        <w:t>Observation data supported these findings. Students in the experimental group were more likely to ask questions, complete tasks, use digital materials independently, and participate in small-group activities. Students who usually struggled during whole-class instruction showed greater willingness to complete tiered worksheets because the tasks matched their readiness level. Advanced students also remained engaged because they received enrichment tasks rather than waiting for the whole class to finish.</w:t>
      </w:r>
    </w:p>
    <w:p w14:paraId="7992FABC" w14:textId="77777777" w:rsidR="00842E2E" w:rsidRDefault="00000000">
      <w:pPr>
        <w:spacing w:before="120" w:after="120" w:line="312" w:lineRule="auto"/>
      </w:pPr>
      <w:r>
        <w:rPr>
          <w:b/>
        </w:rPr>
        <w:t>How Educational Technology Supported Differentiated Instruction</w:t>
      </w:r>
    </w:p>
    <w:p w14:paraId="16AA02FF" w14:textId="77777777" w:rsidR="00842E2E" w:rsidRDefault="00000000">
      <w:pPr>
        <w:spacing w:after="120" w:line="312" w:lineRule="auto"/>
        <w:ind w:firstLine="432"/>
        <w:jc w:val="both"/>
      </w:pPr>
      <w:r>
        <w:t>Qualitative analysis revealed five major ways educational technology supported differentiated instruction: diagnostic assessment, tiered content delivery, flexible grouping, formative feedback, and student-paced learning.</w:t>
      </w:r>
    </w:p>
    <w:p w14:paraId="1341BE7E" w14:textId="77777777" w:rsidR="00842E2E" w:rsidRDefault="00000000">
      <w:pPr>
        <w:spacing w:before="120" w:after="60" w:line="240" w:lineRule="auto"/>
      </w:pPr>
      <w:r>
        <w:t>Table 4. Technology-Supported Differentiated Instruction Practices</w:t>
      </w:r>
    </w:p>
    <w:tbl>
      <w:tblPr>
        <w:tblW w:w="0" w:type="auto"/>
        <w:jc w:val="center"/>
        <w:tblLook w:val="04A0" w:firstRow="1" w:lastRow="0" w:firstColumn="1" w:lastColumn="0" w:noHBand="0" w:noVBand="1"/>
      </w:tblPr>
      <w:tblGrid>
        <w:gridCol w:w="3120"/>
        <w:gridCol w:w="3120"/>
        <w:gridCol w:w="3120"/>
      </w:tblGrid>
      <w:tr w:rsidR="00842E2E" w14:paraId="293B1743" w14:textId="77777777">
        <w:trPr>
          <w:jc w:val="center"/>
        </w:trPr>
        <w:tc>
          <w:tcPr>
            <w:tcW w:w="3120" w:type="dxa"/>
            <w:tcBorders>
              <w:top w:val="single" w:sz="8" w:space="0" w:color="000000"/>
              <w:left w:val="nil"/>
              <w:bottom w:val="single" w:sz="8" w:space="0" w:color="000000"/>
              <w:right w:val="nil"/>
            </w:tcBorders>
            <w:vAlign w:val="center"/>
          </w:tcPr>
          <w:p w14:paraId="5C3590AF" w14:textId="77777777" w:rsidR="00842E2E" w:rsidRDefault="00000000">
            <w:pPr>
              <w:jc w:val="center"/>
            </w:pPr>
            <w:r>
              <w:rPr>
                <w:b/>
                <w:sz w:val="18"/>
              </w:rPr>
              <w:t>Differentiation Practice</w:t>
            </w:r>
          </w:p>
        </w:tc>
        <w:tc>
          <w:tcPr>
            <w:tcW w:w="3120" w:type="dxa"/>
            <w:tcBorders>
              <w:top w:val="single" w:sz="8" w:space="0" w:color="000000"/>
              <w:left w:val="nil"/>
              <w:bottom w:val="single" w:sz="8" w:space="0" w:color="000000"/>
              <w:right w:val="nil"/>
            </w:tcBorders>
            <w:vAlign w:val="center"/>
          </w:tcPr>
          <w:p w14:paraId="0DFC6A29" w14:textId="77777777" w:rsidR="00842E2E" w:rsidRDefault="00000000">
            <w:pPr>
              <w:jc w:val="center"/>
            </w:pPr>
            <w:r>
              <w:rPr>
                <w:b/>
                <w:sz w:val="18"/>
              </w:rPr>
              <w:t>Technology Use</w:t>
            </w:r>
          </w:p>
        </w:tc>
        <w:tc>
          <w:tcPr>
            <w:tcW w:w="3120" w:type="dxa"/>
            <w:tcBorders>
              <w:top w:val="single" w:sz="8" w:space="0" w:color="000000"/>
              <w:left w:val="nil"/>
              <w:bottom w:val="single" w:sz="8" w:space="0" w:color="000000"/>
              <w:right w:val="nil"/>
            </w:tcBorders>
            <w:vAlign w:val="center"/>
          </w:tcPr>
          <w:p w14:paraId="27815F8B" w14:textId="77777777" w:rsidR="00842E2E" w:rsidRDefault="00000000">
            <w:pPr>
              <w:jc w:val="center"/>
            </w:pPr>
            <w:r>
              <w:rPr>
                <w:b/>
                <w:sz w:val="18"/>
              </w:rPr>
              <w:t>Classroom Function</w:t>
            </w:r>
          </w:p>
        </w:tc>
      </w:tr>
      <w:tr w:rsidR="00842E2E" w14:paraId="7D9C6B7F" w14:textId="77777777">
        <w:trPr>
          <w:jc w:val="center"/>
        </w:trPr>
        <w:tc>
          <w:tcPr>
            <w:tcW w:w="3120" w:type="dxa"/>
            <w:tcBorders>
              <w:top w:val="nil"/>
              <w:left w:val="nil"/>
              <w:bottom w:val="nil"/>
              <w:right w:val="nil"/>
            </w:tcBorders>
            <w:vAlign w:val="center"/>
          </w:tcPr>
          <w:p w14:paraId="5AF82EEB" w14:textId="77777777" w:rsidR="00842E2E" w:rsidRDefault="00000000">
            <w:r>
              <w:rPr>
                <w:sz w:val="18"/>
              </w:rPr>
              <w:t>Diagnostic assessment</w:t>
            </w:r>
          </w:p>
        </w:tc>
        <w:tc>
          <w:tcPr>
            <w:tcW w:w="3120" w:type="dxa"/>
            <w:tcBorders>
              <w:top w:val="nil"/>
              <w:left w:val="nil"/>
              <w:bottom w:val="nil"/>
              <w:right w:val="nil"/>
            </w:tcBorders>
            <w:vAlign w:val="center"/>
          </w:tcPr>
          <w:p w14:paraId="7E2CD571" w14:textId="77777777" w:rsidR="00842E2E" w:rsidRDefault="00000000">
            <w:r>
              <w:rPr>
                <w:sz w:val="18"/>
              </w:rPr>
              <w:t>Short digital quizzes and online exit tickets</w:t>
            </w:r>
          </w:p>
        </w:tc>
        <w:tc>
          <w:tcPr>
            <w:tcW w:w="3120" w:type="dxa"/>
            <w:tcBorders>
              <w:top w:val="nil"/>
              <w:left w:val="nil"/>
              <w:bottom w:val="nil"/>
              <w:right w:val="nil"/>
            </w:tcBorders>
            <w:vAlign w:val="center"/>
          </w:tcPr>
          <w:p w14:paraId="19055BB8" w14:textId="77777777" w:rsidR="00842E2E" w:rsidRDefault="00000000">
            <w:r>
              <w:rPr>
                <w:sz w:val="18"/>
              </w:rPr>
              <w:t>Identified readiness levels and learning difficulties</w:t>
            </w:r>
          </w:p>
        </w:tc>
      </w:tr>
      <w:tr w:rsidR="00842E2E" w14:paraId="4085D9BD" w14:textId="77777777">
        <w:trPr>
          <w:jc w:val="center"/>
        </w:trPr>
        <w:tc>
          <w:tcPr>
            <w:tcW w:w="3120" w:type="dxa"/>
            <w:tcBorders>
              <w:top w:val="nil"/>
              <w:left w:val="nil"/>
              <w:bottom w:val="nil"/>
              <w:right w:val="nil"/>
            </w:tcBorders>
            <w:vAlign w:val="center"/>
          </w:tcPr>
          <w:p w14:paraId="74D4D62D" w14:textId="77777777" w:rsidR="00842E2E" w:rsidRDefault="00000000">
            <w:r>
              <w:rPr>
                <w:sz w:val="18"/>
              </w:rPr>
              <w:t>Tiered content delivery</w:t>
            </w:r>
          </w:p>
        </w:tc>
        <w:tc>
          <w:tcPr>
            <w:tcW w:w="3120" w:type="dxa"/>
            <w:tcBorders>
              <w:top w:val="nil"/>
              <w:left w:val="nil"/>
              <w:bottom w:val="nil"/>
              <w:right w:val="nil"/>
            </w:tcBorders>
            <w:vAlign w:val="center"/>
          </w:tcPr>
          <w:p w14:paraId="242983E5" w14:textId="77777777" w:rsidR="00842E2E" w:rsidRDefault="00000000">
            <w:r>
              <w:rPr>
                <w:sz w:val="18"/>
              </w:rPr>
              <w:t>Videos, audio-supported texts, interactive worksheets, enrichment tasks</w:t>
            </w:r>
          </w:p>
        </w:tc>
        <w:tc>
          <w:tcPr>
            <w:tcW w:w="3120" w:type="dxa"/>
            <w:tcBorders>
              <w:top w:val="nil"/>
              <w:left w:val="nil"/>
              <w:bottom w:val="nil"/>
              <w:right w:val="nil"/>
            </w:tcBorders>
            <w:vAlign w:val="center"/>
          </w:tcPr>
          <w:p w14:paraId="67B5B24B" w14:textId="77777777" w:rsidR="00842E2E" w:rsidRDefault="00000000">
            <w:r>
              <w:rPr>
                <w:sz w:val="18"/>
              </w:rPr>
              <w:t>Provided multiple learning pathways</w:t>
            </w:r>
          </w:p>
        </w:tc>
      </w:tr>
      <w:tr w:rsidR="00842E2E" w14:paraId="60AB9422" w14:textId="77777777">
        <w:trPr>
          <w:jc w:val="center"/>
        </w:trPr>
        <w:tc>
          <w:tcPr>
            <w:tcW w:w="3120" w:type="dxa"/>
            <w:tcBorders>
              <w:top w:val="nil"/>
              <w:left w:val="nil"/>
              <w:bottom w:val="nil"/>
              <w:right w:val="nil"/>
            </w:tcBorders>
            <w:vAlign w:val="center"/>
          </w:tcPr>
          <w:p w14:paraId="69FEF01D" w14:textId="77777777" w:rsidR="00842E2E" w:rsidRDefault="00000000">
            <w:r>
              <w:rPr>
                <w:sz w:val="18"/>
              </w:rPr>
              <w:t>Flexible grouping</w:t>
            </w:r>
          </w:p>
        </w:tc>
        <w:tc>
          <w:tcPr>
            <w:tcW w:w="3120" w:type="dxa"/>
            <w:tcBorders>
              <w:top w:val="nil"/>
              <w:left w:val="nil"/>
              <w:bottom w:val="nil"/>
              <w:right w:val="nil"/>
            </w:tcBorders>
            <w:vAlign w:val="center"/>
          </w:tcPr>
          <w:p w14:paraId="744E7B2C" w14:textId="77777777" w:rsidR="00842E2E" w:rsidRDefault="00000000">
            <w:r>
              <w:rPr>
                <w:sz w:val="18"/>
              </w:rPr>
              <w:t>Digital progress records and teacher dashboards</w:t>
            </w:r>
          </w:p>
        </w:tc>
        <w:tc>
          <w:tcPr>
            <w:tcW w:w="3120" w:type="dxa"/>
            <w:tcBorders>
              <w:top w:val="nil"/>
              <w:left w:val="nil"/>
              <w:bottom w:val="nil"/>
              <w:right w:val="nil"/>
            </w:tcBorders>
            <w:vAlign w:val="center"/>
          </w:tcPr>
          <w:p w14:paraId="01D843BE" w14:textId="77777777" w:rsidR="00842E2E" w:rsidRDefault="00000000">
            <w:r>
              <w:rPr>
                <w:sz w:val="18"/>
              </w:rPr>
              <w:t>Helped teachers organize groups based on learning needs</w:t>
            </w:r>
          </w:p>
        </w:tc>
      </w:tr>
      <w:tr w:rsidR="00842E2E" w14:paraId="3C2EEA8D" w14:textId="77777777">
        <w:trPr>
          <w:jc w:val="center"/>
        </w:trPr>
        <w:tc>
          <w:tcPr>
            <w:tcW w:w="3120" w:type="dxa"/>
            <w:tcBorders>
              <w:top w:val="nil"/>
              <w:left w:val="nil"/>
              <w:bottom w:val="nil"/>
              <w:right w:val="nil"/>
            </w:tcBorders>
            <w:vAlign w:val="center"/>
          </w:tcPr>
          <w:p w14:paraId="315EBA77" w14:textId="77777777" w:rsidR="00842E2E" w:rsidRDefault="00000000">
            <w:r>
              <w:rPr>
                <w:sz w:val="18"/>
              </w:rPr>
              <w:t>Formative feedback</w:t>
            </w:r>
          </w:p>
        </w:tc>
        <w:tc>
          <w:tcPr>
            <w:tcW w:w="3120" w:type="dxa"/>
            <w:tcBorders>
              <w:top w:val="nil"/>
              <w:left w:val="nil"/>
              <w:bottom w:val="nil"/>
              <w:right w:val="nil"/>
            </w:tcBorders>
            <w:vAlign w:val="center"/>
          </w:tcPr>
          <w:p w14:paraId="1A24371B" w14:textId="77777777" w:rsidR="00842E2E" w:rsidRDefault="00000000">
            <w:r>
              <w:rPr>
                <w:sz w:val="18"/>
              </w:rPr>
              <w:t>Auto-scored quizzes and teacher comments on digital worksheets</w:t>
            </w:r>
          </w:p>
        </w:tc>
        <w:tc>
          <w:tcPr>
            <w:tcW w:w="3120" w:type="dxa"/>
            <w:tcBorders>
              <w:top w:val="nil"/>
              <w:left w:val="nil"/>
              <w:bottom w:val="nil"/>
              <w:right w:val="nil"/>
            </w:tcBorders>
            <w:vAlign w:val="center"/>
          </w:tcPr>
          <w:p w14:paraId="7A62D268" w14:textId="77777777" w:rsidR="00842E2E" w:rsidRDefault="00000000">
            <w:r>
              <w:rPr>
                <w:sz w:val="18"/>
              </w:rPr>
              <w:t>Supported timely correction and improvement</w:t>
            </w:r>
          </w:p>
        </w:tc>
      </w:tr>
      <w:tr w:rsidR="00842E2E" w14:paraId="62CE2E89" w14:textId="77777777">
        <w:trPr>
          <w:jc w:val="center"/>
        </w:trPr>
        <w:tc>
          <w:tcPr>
            <w:tcW w:w="3120" w:type="dxa"/>
            <w:tcBorders>
              <w:top w:val="nil"/>
              <w:left w:val="nil"/>
              <w:bottom w:val="single" w:sz="8" w:space="0" w:color="000000"/>
              <w:right w:val="nil"/>
            </w:tcBorders>
            <w:vAlign w:val="center"/>
          </w:tcPr>
          <w:p w14:paraId="6EE8E5FB" w14:textId="77777777" w:rsidR="00842E2E" w:rsidRDefault="00000000">
            <w:r>
              <w:rPr>
                <w:sz w:val="18"/>
              </w:rPr>
              <w:t>Student-paced learning</w:t>
            </w:r>
          </w:p>
        </w:tc>
        <w:tc>
          <w:tcPr>
            <w:tcW w:w="3120" w:type="dxa"/>
            <w:tcBorders>
              <w:top w:val="nil"/>
              <w:left w:val="nil"/>
              <w:bottom w:val="single" w:sz="8" w:space="0" w:color="000000"/>
              <w:right w:val="nil"/>
            </w:tcBorders>
            <w:vAlign w:val="center"/>
          </w:tcPr>
          <w:p w14:paraId="77CBC850" w14:textId="77777777" w:rsidR="00842E2E" w:rsidRDefault="00000000">
            <w:r>
              <w:rPr>
                <w:sz w:val="18"/>
              </w:rPr>
              <w:t>Replayable videos, digital notes, and self-check tasks</w:t>
            </w:r>
          </w:p>
        </w:tc>
        <w:tc>
          <w:tcPr>
            <w:tcW w:w="3120" w:type="dxa"/>
            <w:tcBorders>
              <w:top w:val="nil"/>
              <w:left w:val="nil"/>
              <w:bottom w:val="single" w:sz="8" w:space="0" w:color="000000"/>
              <w:right w:val="nil"/>
            </w:tcBorders>
            <w:vAlign w:val="center"/>
          </w:tcPr>
          <w:p w14:paraId="5FD0A81C" w14:textId="77777777" w:rsidR="00842E2E" w:rsidRDefault="00000000">
            <w:r>
              <w:rPr>
                <w:sz w:val="18"/>
              </w:rPr>
              <w:t>Allowed students to repeat and review materials independently</w:t>
            </w:r>
          </w:p>
        </w:tc>
      </w:tr>
    </w:tbl>
    <w:p w14:paraId="1ADC1AFC" w14:textId="77777777" w:rsidR="00842E2E" w:rsidRDefault="00000000">
      <w:pPr>
        <w:spacing w:after="120" w:line="240" w:lineRule="auto"/>
      </w:pPr>
      <w:r>
        <w:rPr>
          <w:sz w:val="20"/>
        </w:rPr>
        <w:t>Source: Synthesized from classroom observations, teacher interviews, and learning documents.</w:t>
      </w:r>
    </w:p>
    <w:p w14:paraId="0903E787" w14:textId="77777777" w:rsidR="00842E2E" w:rsidRDefault="00000000">
      <w:pPr>
        <w:spacing w:after="120" w:line="312" w:lineRule="auto"/>
        <w:ind w:firstLine="432"/>
        <w:jc w:val="both"/>
      </w:pPr>
      <w:r>
        <w:lastRenderedPageBreak/>
        <w:t>The first function was diagnostic assessment. Teachers used short digital quizzes at the beginning of a lesson to identify students’ prior understanding. These quizzes helped teachers determine which students needed basic reinforcement, which students were ready for standard tasks, and which students could work on enrichment activities. Teachers stated that digital diagnostic results made grouping decisions faster and more evidence-based.</w:t>
      </w:r>
    </w:p>
    <w:p w14:paraId="75D5DF6F" w14:textId="77777777" w:rsidR="00842E2E" w:rsidRDefault="00000000">
      <w:pPr>
        <w:spacing w:after="120" w:line="312" w:lineRule="auto"/>
        <w:ind w:firstLine="432"/>
        <w:jc w:val="both"/>
      </w:pPr>
      <w:r>
        <w:t>The second function was tiered content delivery. Teachers provided learning materials in different levels of complexity. For example, in a reading activity, struggling students received audio-supported texts and guiding questions, while advanced students worked with longer texts and open-ended tasks. In science learning, some students watched short explanatory videos before completing worksheets, while others worked directly on problem-solving tasks.</w:t>
      </w:r>
    </w:p>
    <w:p w14:paraId="28E9AAC6" w14:textId="77777777" w:rsidR="00842E2E" w:rsidRDefault="00000000">
      <w:pPr>
        <w:spacing w:after="120" w:line="312" w:lineRule="auto"/>
        <w:ind w:firstLine="432"/>
        <w:jc w:val="both"/>
      </w:pPr>
      <w:r>
        <w:t>The third function was flexible grouping. Technology helped teachers monitor students’ progress and reorganize groups based on current learning needs. Grouping was not fixed. Students could move from one group to another depending on their performance in diagnostic quizzes, task completion, and formative assessment results. This practice prevented students from being permanently labeled as low or high achievers.</w:t>
      </w:r>
    </w:p>
    <w:p w14:paraId="274934BD" w14:textId="77777777" w:rsidR="00842E2E" w:rsidRDefault="00000000">
      <w:pPr>
        <w:spacing w:after="120" w:line="312" w:lineRule="auto"/>
        <w:ind w:firstLine="432"/>
        <w:jc w:val="both"/>
      </w:pPr>
      <w:r>
        <w:t>The fourth function was formative feedback. Auto-scored quizzes allowed students to receive immediate information about their answers. Teachers also used digital worksheets to provide written comments. This feedback helped students revise their understanding before moving to the next task. Teachers reported that feedback became more manageable because digital tools recorded student responses and highlighted common errors.</w:t>
      </w:r>
    </w:p>
    <w:p w14:paraId="3E790316" w14:textId="77777777" w:rsidR="00842E2E" w:rsidRDefault="00000000">
      <w:pPr>
        <w:spacing w:after="120" w:line="312" w:lineRule="auto"/>
        <w:ind w:firstLine="432"/>
        <w:jc w:val="both"/>
      </w:pPr>
      <w:r>
        <w:t>The fifth function was student-paced learning. Some students needed more time to understand explanations, while others completed tasks quickly. Digital materials allowed students to replay videos, reread instructions, and complete self-check activities. This flexibility helped teachers manage diverse learning speeds in one classroom.</w:t>
      </w:r>
    </w:p>
    <w:p w14:paraId="43784752" w14:textId="77777777" w:rsidR="00842E2E" w:rsidRDefault="00000000">
      <w:pPr>
        <w:spacing w:before="120" w:after="120" w:line="312" w:lineRule="auto"/>
      </w:pPr>
      <w:r>
        <w:rPr>
          <w:b/>
        </w:rPr>
        <w:t>Implementation Challenges</w:t>
      </w:r>
    </w:p>
    <w:p w14:paraId="7854F6F1" w14:textId="77777777" w:rsidR="00842E2E" w:rsidRDefault="00000000">
      <w:pPr>
        <w:spacing w:after="120" w:line="312" w:lineRule="auto"/>
        <w:ind w:firstLine="432"/>
        <w:jc w:val="both"/>
      </w:pPr>
      <w:r>
        <w:t>Despite the positive outcomes, several challenges emerged during implementation. The first challenge was infrastructure inequality. Some classrooms had limited devices, unstable internet connection, or insufficient projector quality. Teachers had to prepare offline alternatives, printed backup materials, and group-based device sharing.</w:t>
      </w:r>
    </w:p>
    <w:p w14:paraId="6E9279CD" w14:textId="77777777" w:rsidR="00842E2E" w:rsidRDefault="00000000">
      <w:pPr>
        <w:spacing w:after="120" w:line="312" w:lineRule="auto"/>
        <w:ind w:firstLine="432"/>
        <w:jc w:val="both"/>
      </w:pPr>
      <w:r>
        <w:t xml:space="preserve">The second challenge was teacher workload. Preparing differentiated digital materials required time. Teachers needed to design diagnostic quizzes, create tiered worksheets, select </w:t>
      </w:r>
      <w:r>
        <w:lastRenderedPageBreak/>
        <w:t>videos, organize digital folders, and analyze student progress. Although teachers recognized the benefits, they also stated that technology-supported differentiation required careful planning.</w:t>
      </w:r>
    </w:p>
    <w:p w14:paraId="0457B03A" w14:textId="77777777" w:rsidR="00842E2E" w:rsidRDefault="00000000">
      <w:pPr>
        <w:spacing w:after="120" w:line="312" w:lineRule="auto"/>
        <w:ind w:firstLine="432"/>
        <w:jc w:val="both"/>
      </w:pPr>
      <w:r>
        <w:t>The third challenge was students’ digital self-regulation. Some students became distracted by games, videos, or unrelated websites when using devices. Teachers addressed this by setting clear rules, giving time limits, monitoring screens, and using structured digital tasks.</w:t>
      </w:r>
    </w:p>
    <w:p w14:paraId="33105333" w14:textId="77777777" w:rsidR="00842E2E" w:rsidRDefault="00000000">
      <w:pPr>
        <w:spacing w:after="120" w:line="312" w:lineRule="auto"/>
        <w:ind w:firstLine="432"/>
        <w:jc w:val="both"/>
      </w:pPr>
      <w:r>
        <w:t>The fourth challenge was balancing technology and direct instruction. Teachers found that students still needed direct explanation, modeling, and emotional support. Technology was useful, but it could not replace teacher guidance. Students needed teachers to clarify misconceptions, encourage participation, and support collaboration.</w:t>
      </w:r>
    </w:p>
    <w:p w14:paraId="145492DD" w14:textId="77777777" w:rsidR="00842E2E" w:rsidRDefault="00000000">
      <w:pPr>
        <w:spacing w:before="120" w:after="60" w:line="240" w:lineRule="auto"/>
      </w:pPr>
      <w:r>
        <w:t>Table 5. Implementation Challenges and Teacher Responses</w:t>
      </w:r>
    </w:p>
    <w:tbl>
      <w:tblPr>
        <w:tblW w:w="0" w:type="auto"/>
        <w:jc w:val="center"/>
        <w:tblLook w:val="04A0" w:firstRow="1" w:lastRow="0" w:firstColumn="1" w:lastColumn="0" w:noHBand="0" w:noVBand="1"/>
      </w:tblPr>
      <w:tblGrid>
        <w:gridCol w:w="3120"/>
        <w:gridCol w:w="3120"/>
        <w:gridCol w:w="3120"/>
      </w:tblGrid>
      <w:tr w:rsidR="00842E2E" w14:paraId="0D88564D" w14:textId="77777777">
        <w:trPr>
          <w:jc w:val="center"/>
        </w:trPr>
        <w:tc>
          <w:tcPr>
            <w:tcW w:w="3120" w:type="dxa"/>
            <w:tcBorders>
              <w:top w:val="single" w:sz="8" w:space="0" w:color="000000"/>
              <w:left w:val="nil"/>
              <w:bottom w:val="single" w:sz="8" w:space="0" w:color="000000"/>
              <w:right w:val="nil"/>
            </w:tcBorders>
            <w:vAlign w:val="center"/>
          </w:tcPr>
          <w:p w14:paraId="0B92D8C4" w14:textId="77777777" w:rsidR="00842E2E" w:rsidRDefault="00000000">
            <w:pPr>
              <w:jc w:val="center"/>
            </w:pPr>
            <w:r>
              <w:rPr>
                <w:b/>
                <w:sz w:val="18"/>
              </w:rPr>
              <w:t>Challenge</w:t>
            </w:r>
          </w:p>
        </w:tc>
        <w:tc>
          <w:tcPr>
            <w:tcW w:w="3120" w:type="dxa"/>
            <w:tcBorders>
              <w:top w:val="single" w:sz="8" w:space="0" w:color="000000"/>
              <w:left w:val="nil"/>
              <w:bottom w:val="single" w:sz="8" w:space="0" w:color="000000"/>
              <w:right w:val="nil"/>
            </w:tcBorders>
            <w:vAlign w:val="center"/>
          </w:tcPr>
          <w:p w14:paraId="1B929EB0" w14:textId="77777777" w:rsidR="00842E2E" w:rsidRDefault="00000000">
            <w:pPr>
              <w:jc w:val="center"/>
            </w:pPr>
            <w:r>
              <w:rPr>
                <w:b/>
                <w:sz w:val="18"/>
              </w:rPr>
              <w:t>Evidence from Classroom Practice</w:t>
            </w:r>
          </w:p>
        </w:tc>
        <w:tc>
          <w:tcPr>
            <w:tcW w:w="3120" w:type="dxa"/>
            <w:tcBorders>
              <w:top w:val="single" w:sz="8" w:space="0" w:color="000000"/>
              <w:left w:val="nil"/>
              <w:bottom w:val="single" w:sz="8" w:space="0" w:color="000000"/>
              <w:right w:val="nil"/>
            </w:tcBorders>
            <w:vAlign w:val="center"/>
          </w:tcPr>
          <w:p w14:paraId="62DE845A" w14:textId="77777777" w:rsidR="00842E2E" w:rsidRDefault="00000000">
            <w:pPr>
              <w:jc w:val="center"/>
            </w:pPr>
            <w:r>
              <w:rPr>
                <w:b/>
                <w:sz w:val="18"/>
              </w:rPr>
              <w:t>Teacher Response</w:t>
            </w:r>
          </w:p>
        </w:tc>
      </w:tr>
      <w:tr w:rsidR="00842E2E" w14:paraId="00DA5C8F" w14:textId="77777777">
        <w:trPr>
          <w:jc w:val="center"/>
        </w:trPr>
        <w:tc>
          <w:tcPr>
            <w:tcW w:w="3120" w:type="dxa"/>
            <w:tcBorders>
              <w:top w:val="nil"/>
              <w:left w:val="nil"/>
              <w:bottom w:val="nil"/>
              <w:right w:val="nil"/>
            </w:tcBorders>
            <w:vAlign w:val="center"/>
          </w:tcPr>
          <w:p w14:paraId="42638723" w14:textId="77777777" w:rsidR="00842E2E" w:rsidRDefault="00000000">
            <w:r>
              <w:rPr>
                <w:sz w:val="18"/>
              </w:rPr>
              <w:t>Limited devices and internet</w:t>
            </w:r>
          </w:p>
        </w:tc>
        <w:tc>
          <w:tcPr>
            <w:tcW w:w="3120" w:type="dxa"/>
            <w:tcBorders>
              <w:top w:val="nil"/>
              <w:left w:val="nil"/>
              <w:bottom w:val="nil"/>
              <w:right w:val="nil"/>
            </w:tcBorders>
            <w:vAlign w:val="center"/>
          </w:tcPr>
          <w:p w14:paraId="7F442845" w14:textId="77777777" w:rsidR="00842E2E" w:rsidRDefault="00000000">
            <w:r>
              <w:rPr>
                <w:sz w:val="18"/>
              </w:rPr>
              <w:t>Some students shared devices and experienced slow access</w:t>
            </w:r>
          </w:p>
        </w:tc>
        <w:tc>
          <w:tcPr>
            <w:tcW w:w="3120" w:type="dxa"/>
            <w:tcBorders>
              <w:top w:val="nil"/>
              <w:left w:val="nil"/>
              <w:bottom w:val="nil"/>
              <w:right w:val="nil"/>
            </w:tcBorders>
            <w:vAlign w:val="center"/>
          </w:tcPr>
          <w:p w14:paraId="74C9E81B" w14:textId="77777777" w:rsidR="00842E2E" w:rsidRDefault="00000000">
            <w:r>
              <w:rPr>
                <w:sz w:val="18"/>
              </w:rPr>
              <w:t>Prepared offline files and group-based device use</w:t>
            </w:r>
          </w:p>
        </w:tc>
      </w:tr>
      <w:tr w:rsidR="00842E2E" w14:paraId="6CE41EA0" w14:textId="77777777">
        <w:trPr>
          <w:jc w:val="center"/>
        </w:trPr>
        <w:tc>
          <w:tcPr>
            <w:tcW w:w="3120" w:type="dxa"/>
            <w:tcBorders>
              <w:top w:val="nil"/>
              <w:left w:val="nil"/>
              <w:bottom w:val="nil"/>
              <w:right w:val="nil"/>
            </w:tcBorders>
            <w:vAlign w:val="center"/>
          </w:tcPr>
          <w:p w14:paraId="541D7A18" w14:textId="77777777" w:rsidR="00842E2E" w:rsidRDefault="00000000">
            <w:r>
              <w:rPr>
                <w:sz w:val="18"/>
              </w:rPr>
              <w:t>Teacher workload</w:t>
            </w:r>
          </w:p>
        </w:tc>
        <w:tc>
          <w:tcPr>
            <w:tcW w:w="3120" w:type="dxa"/>
            <w:tcBorders>
              <w:top w:val="nil"/>
              <w:left w:val="nil"/>
              <w:bottom w:val="nil"/>
              <w:right w:val="nil"/>
            </w:tcBorders>
            <w:vAlign w:val="center"/>
          </w:tcPr>
          <w:p w14:paraId="09E1C1A4" w14:textId="77777777" w:rsidR="00842E2E" w:rsidRDefault="00000000">
            <w:r>
              <w:rPr>
                <w:sz w:val="18"/>
              </w:rPr>
              <w:t>Teachers spent more time preparing tiered materials</w:t>
            </w:r>
          </w:p>
        </w:tc>
        <w:tc>
          <w:tcPr>
            <w:tcW w:w="3120" w:type="dxa"/>
            <w:tcBorders>
              <w:top w:val="nil"/>
              <w:left w:val="nil"/>
              <w:bottom w:val="nil"/>
              <w:right w:val="nil"/>
            </w:tcBorders>
            <w:vAlign w:val="center"/>
          </w:tcPr>
          <w:p w14:paraId="34CE6421" w14:textId="77777777" w:rsidR="00842E2E" w:rsidRDefault="00000000">
            <w:r>
              <w:rPr>
                <w:sz w:val="18"/>
              </w:rPr>
              <w:t>Used reusable templates and collaborative planning</w:t>
            </w:r>
          </w:p>
        </w:tc>
      </w:tr>
      <w:tr w:rsidR="00842E2E" w14:paraId="29D320E0" w14:textId="77777777">
        <w:trPr>
          <w:jc w:val="center"/>
        </w:trPr>
        <w:tc>
          <w:tcPr>
            <w:tcW w:w="3120" w:type="dxa"/>
            <w:tcBorders>
              <w:top w:val="nil"/>
              <w:left w:val="nil"/>
              <w:bottom w:val="nil"/>
              <w:right w:val="nil"/>
            </w:tcBorders>
            <w:vAlign w:val="center"/>
          </w:tcPr>
          <w:p w14:paraId="0677DBC3" w14:textId="77777777" w:rsidR="00842E2E" w:rsidRDefault="00000000">
            <w:r>
              <w:rPr>
                <w:sz w:val="18"/>
              </w:rPr>
              <w:t>Student distraction</w:t>
            </w:r>
          </w:p>
        </w:tc>
        <w:tc>
          <w:tcPr>
            <w:tcW w:w="3120" w:type="dxa"/>
            <w:tcBorders>
              <w:top w:val="nil"/>
              <w:left w:val="nil"/>
              <w:bottom w:val="nil"/>
              <w:right w:val="nil"/>
            </w:tcBorders>
            <w:vAlign w:val="center"/>
          </w:tcPr>
          <w:p w14:paraId="3F367014" w14:textId="77777777" w:rsidR="00842E2E" w:rsidRDefault="00000000">
            <w:r>
              <w:rPr>
                <w:sz w:val="18"/>
              </w:rPr>
              <w:t>Some students opened unrelated applications</w:t>
            </w:r>
          </w:p>
        </w:tc>
        <w:tc>
          <w:tcPr>
            <w:tcW w:w="3120" w:type="dxa"/>
            <w:tcBorders>
              <w:top w:val="nil"/>
              <w:left w:val="nil"/>
              <w:bottom w:val="nil"/>
              <w:right w:val="nil"/>
            </w:tcBorders>
            <w:vAlign w:val="center"/>
          </w:tcPr>
          <w:p w14:paraId="26767780" w14:textId="77777777" w:rsidR="00842E2E" w:rsidRDefault="00000000">
            <w:r>
              <w:rPr>
                <w:sz w:val="18"/>
              </w:rPr>
              <w:t>Applied classroom rules and time-bounded tasks</w:t>
            </w:r>
          </w:p>
        </w:tc>
      </w:tr>
      <w:tr w:rsidR="00842E2E" w14:paraId="1B434BFD" w14:textId="77777777">
        <w:trPr>
          <w:jc w:val="center"/>
        </w:trPr>
        <w:tc>
          <w:tcPr>
            <w:tcW w:w="3120" w:type="dxa"/>
            <w:tcBorders>
              <w:top w:val="nil"/>
              <w:left w:val="nil"/>
              <w:bottom w:val="nil"/>
              <w:right w:val="nil"/>
            </w:tcBorders>
            <w:vAlign w:val="center"/>
          </w:tcPr>
          <w:p w14:paraId="23A0EDC5" w14:textId="77777777" w:rsidR="00842E2E" w:rsidRDefault="00000000">
            <w:r>
              <w:rPr>
                <w:sz w:val="18"/>
              </w:rPr>
              <w:t>Uneven digital skills</w:t>
            </w:r>
          </w:p>
        </w:tc>
        <w:tc>
          <w:tcPr>
            <w:tcW w:w="3120" w:type="dxa"/>
            <w:tcBorders>
              <w:top w:val="nil"/>
              <w:left w:val="nil"/>
              <w:bottom w:val="nil"/>
              <w:right w:val="nil"/>
            </w:tcBorders>
            <w:vAlign w:val="center"/>
          </w:tcPr>
          <w:p w14:paraId="6FCE617A" w14:textId="77777777" w:rsidR="00842E2E" w:rsidRDefault="00000000">
            <w:r>
              <w:rPr>
                <w:sz w:val="18"/>
              </w:rPr>
              <w:t>Some students needed help navigating platforms</w:t>
            </w:r>
          </w:p>
        </w:tc>
        <w:tc>
          <w:tcPr>
            <w:tcW w:w="3120" w:type="dxa"/>
            <w:tcBorders>
              <w:top w:val="nil"/>
              <w:left w:val="nil"/>
              <w:bottom w:val="nil"/>
              <w:right w:val="nil"/>
            </w:tcBorders>
            <w:vAlign w:val="center"/>
          </w:tcPr>
          <w:p w14:paraId="5B7E6707" w14:textId="77777777" w:rsidR="00842E2E" w:rsidRDefault="00000000">
            <w:r>
              <w:rPr>
                <w:sz w:val="18"/>
              </w:rPr>
              <w:t>Provided demonstrations and peer assistance</w:t>
            </w:r>
          </w:p>
        </w:tc>
      </w:tr>
      <w:tr w:rsidR="00842E2E" w14:paraId="280E7B03" w14:textId="77777777">
        <w:trPr>
          <w:jc w:val="center"/>
        </w:trPr>
        <w:tc>
          <w:tcPr>
            <w:tcW w:w="3120" w:type="dxa"/>
            <w:tcBorders>
              <w:top w:val="nil"/>
              <w:left w:val="nil"/>
              <w:bottom w:val="single" w:sz="8" w:space="0" w:color="000000"/>
              <w:right w:val="nil"/>
            </w:tcBorders>
            <w:vAlign w:val="center"/>
          </w:tcPr>
          <w:p w14:paraId="7FC6F795" w14:textId="77777777" w:rsidR="00842E2E" w:rsidRDefault="00000000">
            <w:r>
              <w:rPr>
                <w:sz w:val="18"/>
              </w:rPr>
              <w:t>Need for teacher guidance</w:t>
            </w:r>
          </w:p>
        </w:tc>
        <w:tc>
          <w:tcPr>
            <w:tcW w:w="3120" w:type="dxa"/>
            <w:tcBorders>
              <w:top w:val="nil"/>
              <w:left w:val="nil"/>
              <w:bottom w:val="single" w:sz="8" w:space="0" w:color="000000"/>
              <w:right w:val="nil"/>
            </w:tcBorders>
            <w:vAlign w:val="center"/>
          </w:tcPr>
          <w:p w14:paraId="0F1504B2" w14:textId="77777777" w:rsidR="00842E2E" w:rsidRDefault="00000000">
            <w:r>
              <w:rPr>
                <w:sz w:val="18"/>
              </w:rPr>
              <w:t>Students still required explanation and support</w:t>
            </w:r>
          </w:p>
        </w:tc>
        <w:tc>
          <w:tcPr>
            <w:tcW w:w="3120" w:type="dxa"/>
            <w:tcBorders>
              <w:top w:val="nil"/>
              <w:left w:val="nil"/>
              <w:bottom w:val="single" w:sz="8" w:space="0" w:color="000000"/>
              <w:right w:val="nil"/>
            </w:tcBorders>
            <w:vAlign w:val="center"/>
          </w:tcPr>
          <w:p w14:paraId="3461D3FE" w14:textId="77777777" w:rsidR="00842E2E" w:rsidRDefault="00000000">
            <w:r>
              <w:rPr>
                <w:sz w:val="18"/>
              </w:rPr>
              <w:t>Combined digital tasks with direct instruction</w:t>
            </w:r>
          </w:p>
        </w:tc>
      </w:tr>
    </w:tbl>
    <w:p w14:paraId="4E91DD5C" w14:textId="77777777" w:rsidR="00842E2E" w:rsidRDefault="00000000">
      <w:pPr>
        <w:spacing w:after="120" w:line="240" w:lineRule="auto"/>
      </w:pPr>
      <w:r>
        <w:rPr>
          <w:sz w:val="20"/>
        </w:rPr>
        <w:t>Source: Synthesized from observations and teacher interviews.</w:t>
      </w:r>
    </w:p>
    <w:p w14:paraId="4CE5DFE6" w14:textId="77777777" w:rsidR="00842E2E" w:rsidRDefault="00000000">
      <w:pPr>
        <w:spacing w:before="120" w:after="120" w:line="312" w:lineRule="auto"/>
      </w:pPr>
      <w:r>
        <w:rPr>
          <w:b/>
        </w:rPr>
        <w:t>2. Discussion</w:t>
      </w:r>
    </w:p>
    <w:p w14:paraId="29CB4D5A" w14:textId="77777777" w:rsidR="00842E2E" w:rsidRDefault="00000000">
      <w:pPr>
        <w:spacing w:after="120" w:line="312" w:lineRule="auto"/>
        <w:ind w:firstLine="432"/>
        <w:jc w:val="both"/>
      </w:pPr>
      <w:r>
        <w:t>The findings show that educational technology can support differentiated instruction in primary schools when it is used as a pedagogical tool rather than as a decorative addition. The experimental group achieved higher academic achievement and engagement than the control group. This suggests that technology-supported differentiation helped students access learning materials more appropriately, receive feedback more quickly, and work at a pace that matched their readiness.</w:t>
      </w:r>
    </w:p>
    <w:p w14:paraId="77634484" w14:textId="77777777" w:rsidR="00842E2E" w:rsidRDefault="00000000">
      <w:pPr>
        <w:spacing w:after="120" w:line="312" w:lineRule="auto"/>
        <w:ind w:firstLine="432"/>
        <w:jc w:val="both"/>
      </w:pPr>
      <w:r>
        <w:t xml:space="preserve">The improvement in academic achievement supports previous research showing that differentiation can improve learning outcomes when implemented systematically. Deunk et al. (2018) reported that computerized systems used as differentiation tools can produce positive effects on primary students’ performance. The present study supports this conclusion by </w:t>
      </w:r>
      <w:r>
        <w:lastRenderedPageBreak/>
        <w:t>showing that digital diagnostic assessment, tiered content, and formative feedback contributed to stronger learning gains. However, the findings also indicate that the technology itself was not the main factor. The key factor was how teachers used technology to make differentiated instructional decisions.</w:t>
      </w:r>
    </w:p>
    <w:p w14:paraId="36487F74" w14:textId="77777777" w:rsidR="00842E2E" w:rsidRDefault="00000000">
      <w:pPr>
        <w:spacing w:after="120" w:line="312" w:lineRule="auto"/>
        <w:ind w:firstLine="432"/>
        <w:jc w:val="both"/>
      </w:pPr>
      <w:r>
        <w:t>The improvement in student engagement is also important. Differentiated instruction is not only about achievement but also about students’ active participation in learning. Students in the experimental group became more engaged because the tasks were neither too easy nor too difficult. Struggling students received scaffolding, while advanced students received enrichment. This balance reduced frustration and boredom. It also created a more inclusive learning environment because students could participate according to their current level of readiness.</w:t>
      </w:r>
    </w:p>
    <w:p w14:paraId="164E5697" w14:textId="77777777" w:rsidR="00842E2E" w:rsidRDefault="00000000">
      <w:pPr>
        <w:spacing w:after="120" w:line="312" w:lineRule="auto"/>
        <w:ind w:firstLine="432"/>
        <w:jc w:val="both"/>
      </w:pPr>
      <w:r>
        <w:t>The findings are consistent with the principle that differentiated instruction should address student readiness, interest, and learning profile (Tomlinson, 2014; Roy et al., 2013). Technology helped teachers respond to readiness through diagnostic quizzes and tiered tasks. It supported interest through multimedia resources and interactive activities. It supported learning profiles by offering different modes of representation, such as text, audio, video, images, and digital practice. This shows that educational technology can expand the practical possibilities of differentiation.</w:t>
      </w:r>
    </w:p>
    <w:p w14:paraId="565CA357" w14:textId="77777777" w:rsidR="00842E2E" w:rsidRDefault="00000000">
      <w:pPr>
        <w:spacing w:after="120" w:line="312" w:lineRule="auto"/>
        <w:ind w:firstLine="432"/>
        <w:jc w:val="both"/>
      </w:pPr>
      <w:r>
        <w:t>Nevertheless, the results also show that technology-supported differentiation requires strong teacher mediation. Teachers must interpret diagnostic data, decide grouping patterns, select suitable materials, provide feedback, and ensure that students remain focused. Without teacher mediation, technology may increase activity but not necessarily learning. This finding aligns with educational technology research showing that technology effectiveness depends on instructional design, teacher competence, and pedagogical integration (Falloon, 2020; Sailer et al., 2021; Tondeur et al., 2017).</w:t>
      </w:r>
    </w:p>
    <w:p w14:paraId="3AF31B32" w14:textId="77777777" w:rsidR="00842E2E" w:rsidRDefault="00000000">
      <w:pPr>
        <w:spacing w:after="120" w:line="312" w:lineRule="auto"/>
        <w:ind w:firstLine="432"/>
        <w:jc w:val="both"/>
      </w:pPr>
      <w:r>
        <w:t>The role of formative assessment was particularly important. Digital quizzes and exit tickets helped teachers identify students’ misconceptions quickly. This allowed teachers to adjust instruction during the learning process rather than waiting until the end of a unit. In differentiated instruction, ongoing assessment is essential because students’ needs change over time. Technology made this process more manageable by collecting and displaying learning evidence efficiently (Faber, Luyten, &amp; Visscher, 2017; Ifenthaler &amp; Yau, 2020).</w:t>
      </w:r>
    </w:p>
    <w:p w14:paraId="1B6717CC" w14:textId="77777777" w:rsidR="00842E2E" w:rsidRDefault="00000000">
      <w:pPr>
        <w:spacing w:after="120" w:line="312" w:lineRule="auto"/>
        <w:ind w:firstLine="432"/>
        <w:jc w:val="both"/>
      </w:pPr>
      <w:r>
        <w:lastRenderedPageBreak/>
        <w:t>The study also shows that technology can support flexible grouping. In conventional classrooms, grouping is often based on teacher impression or fixed ability categories. In this study, teachers used digital progress data to form and revise groups. This made grouping more dynamic and less stigmatizing. Students were grouped based on current task needs rather than permanent labels. Such flexibility is important in primary schools because students’ performance can vary across topics and tasks.</w:t>
      </w:r>
    </w:p>
    <w:p w14:paraId="5D089D49" w14:textId="77777777" w:rsidR="00842E2E" w:rsidRDefault="00000000">
      <w:pPr>
        <w:spacing w:after="120" w:line="312" w:lineRule="auto"/>
        <w:ind w:firstLine="432"/>
        <w:jc w:val="both"/>
      </w:pPr>
      <w:r>
        <w:t>The findings also connect with broader evidence on educational technology. Meta-analyses indicate that educational technology can positively influence learning outcomes when integrated with curriculum, professional development, and appropriate pedagogy (Cheung &amp; Slavin, 2013; Kulik &amp; Fletcher, 2016; Means, Toyama, Murphy, &amp; Baki, 2013; Sung, Chang, &amp; Liu, 2016; Tamim, Bernard, Borokhovski, Abrami, &amp; Schmid, 2011; VanLehn, 2011). The present study adds that technology is particularly useful when it helps teachers differentiate instruction based on actual evidence of student needs.</w:t>
      </w:r>
    </w:p>
    <w:p w14:paraId="2E86F1DB" w14:textId="77777777" w:rsidR="00842E2E" w:rsidRDefault="00000000">
      <w:pPr>
        <w:spacing w:after="120" w:line="312" w:lineRule="auto"/>
        <w:ind w:firstLine="432"/>
        <w:jc w:val="both"/>
      </w:pPr>
      <w:r>
        <w:t>However, implementation challenges should not be underestimated. Infrastructure inequality remains a serious issue. Technology-supported differentiation may widen learning gaps if some students have better access than others. Therefore, teachers and schools need inclusive planning. Offline options, shared devices, printed alternatives, and low-bandwidth resources should be prepared. Digital learning should not assume equal access.</w:t>
      </w:r>
    </w:p>
    <w:p w14:paraId="09F92D76" w14:textId="77777777" w:rsidR="00842E2E" w:rsidRDefault="00000000">
      <w:pPr>
        <w:spacing w:after="120" w:line="312" w:lineRule="auto"/>
        <w:ind w:firstLine="432"/>
        <w:jc w:val="both"/>
      </w:pPr>
      <w:r>
        <w:t>Teacher workload is another important challenge. Differentiated digital instruction requires time for planning and material development. Teachers need professional development, collaborative planning, and reusable digital templates. Kahmann, Droop, and Lazonder (2022) emphasize the importance of professional development for differentiated instruction. In this study, teacher collaboration and reusable digital materials helped reduce preparation demands, but sustained institutional support remained necessary.</w:t>
      </w:r>
    </w:p>
    <w:p w14:paraId="3751C59C" w14:textId="77777777" w:rsidR="00842E2E" w:rsidRDefault="00000000">
      <w:pPr>
        <w:spacing w:after="120" w:line="312" w:lineRule="auto"/>
        <w:ind w:firstLine="432"/>
        <w:jc w:val="both"/>
      </w:pPr>
      <w:r>
        <w:t>Student self-regulation is also essential. Primary school students need explicit guidance in using technology for learning. They may become distracted if tasks are not structured. Teachers should provide clear instructions, learning goals, time limits, and monitoring routines. Digital citizenship and self-regulated learning should therefore become part of technology-supported differentiated instruction.</w:t>
      </w:r>
    </w:p>
    <w:p w14:paraId="5716BEEC" w14:textId="77777777" w:rsidR="00842E2E" w:rsidRDefault="00000000">
      <w:pPr>
        <w:spacing w:after="120" w:line="312" w:lineRule="auto"/>
        <w:ind w:firstLine="432"/>
        <w:jc w:val="both"/>
      </w:pPr>
      <w:r>
        <w:t xml:space="preserve">Overall, this study confirms that educational technology can strengthen differentiated instruction in primary schools when four conditions are met. First, technology must be assessment-informed. Second, materials must be tiered and aligned with learning objectives. </w:t>
      </w:r>
      <w:r>
        <w:lastRenderedPageBreak/>
        <w:t>Third, teachers must provide feedback and guidance. Fourth, access and classroom management must be planned inclusively. When these conditions are present, technology can help teachers respond more effectively to student diversity.</w:t>
      </w:r>
    </w:p>
    <w:p w14:paraId="1EA747FE" w14:textId="77777777" w:rsidR="00842E2E" w:rsidRDefault="00000000">
      <w:pPr>
        <w:spacing w:before="120" w:after="120" w:line="312" w:lineRule="auto"/>
      </w:pPr>
      <w:r>
        <w:rPr>
          <w:b/>
        </w:rPr>
        <w:t>D. Conclusion</w:t>
      </w:r>
    </w:p>
    <w:p w14:paraId="1281901A" w14:textId="77777777" w:rsidR="00842E2E" w:rsidRDefault="00000000">
      <w:pPr>
        <w:spacing w:after="120" w:line="312" w:lineRule="auto"/>
        <w:ind w:firstLine="432"/>
        <w:jc w:val="both"/>
      </w:pPr>
      <w:r>
        <w:t>This study examined the use of educational technology to support differentiated instruction in primary schools. The findings showed that students who received technology-supported differentiated instruction achieved higher academic achievement and learning engagement than students who received conventional instruction. The experimental group improved from a pretest mean score of 61.42 to a posttest mean score of 80.35, while the control group improved from 60.87 to 70.14. The posttest comparison showed a significant difference, t(122) = 7.27, p &lt; .001, with a large effect size, Cohen’s d = 1.30. Student engagement also increased more substantially in the experimental group. Qualitative findings revealed that educational technology supported differentiated instruction through diagnostic assessment, tiered content delivery, flexible grouping, formative feedback, and student-paced learning. However, implementation challenges included infrastructure inequality, teacher workload, student distraction, uneven digital skills, and the continuing need for teacher guidance. The study concludes that educational technology can support differentiated instruction effectively when it is pedagogically planned, assessment-driven, inclusive, and aligned with primary students’ developmental needs. Future research should examine long-term implementation, compare different digital platforms, and investigate how technology-supported differentiation affects students with diverse learning needs.</w:t>
      </w:r>
    </w:p>
    <w:p w14:paraId="0F81EB19" w14:textId="77777777" w:rsidR="00842E2E" w:rsidRDefault="00000000">
      <w:pPr>
        <w:spacing w:before="120" w:after="120" w:line="312" w:lineRule="auto"/>
      </w:pPr>
      <w:r>
        <w:rPr>
          <w:b/>
        </w:rPr>
        <w:t>Declaration of AI-Assisted Technologies</w:t>
      </w:r>
    </w:p>
    <w:p w14:paraId="0624D3A9" w14:textId="77777777" w:rsidR="00842E2E" w:rsidRDefault="00000000">
      <w:pPr>
        <w:spacing w:after="120" w:line="312" w:lineRule="auto"/>
        <w:ind w:firstLine="432"/>
        <w:jc w:val="both"/>
      </w:pPr>
      <w:r>
        <w:t>In preparing this manuscript, the authors used AI-assisted tools only to improve English language quality, grammar, readability, sentence clarity, and academic expression. The AI tools were not used to generate research data, conduct data analysis, produce findings, or draw conclusions. All conceptual arguments, data interpretation, methodological decisions, and scholarly conclusions remain the full responsibility of the authors. The authors carefully reviewed, edited, and verified all AI-assisted outputs to ensure the accuracy, integrity, and originality of the final manuscript.</w:t>
      </w:r>
    </w:p>
    <w:p w14:paraId="4DD8A900" w14:textId="77777777" w:rsidR="00842E2E" w:rsidRDefault="00000000">
      <w:pPr>
        <w:spacing w:before="120" w:after="120" w:line="312" w:lineRule="auto"/>
      </w:pPr>
      <w:r>
        <w:rPr>
          <w:b/>
        </w:rPr>
        <w:t>Bibliography</w:t>
      </w:r>
    </w:p>
    <w:p w14:paraId="0BD83E18" w14:textId="77777777" w:rsidR="00842E2E" w:rsidRDefault="00000000">
      <w:pPr>
        <w:spacing w:after="120" w:line="240" w:lineRule="auto"/>
        <w:ind w:left="432" w:hanging="432"/>
        <w:jc w:val="both"/>
      </w:pPr>
      <w:r>
        <w:lastRenderedPageBreak/>
        <w:t>Bond, M., Bedenlier, S., Marin, V. I., &amp; Handel, M. (2021). Emergency remote teaching in higher education: Mapping the first global online semester. International Journal of Educational Technology in Higher Education, 18, 50. doi: 10.1186/s41239-021-00282-x</w:t>
      </w:r>
    </w:p>
    <w:p w14:paraId="01D2D113" w14:textId="77777777" w:rsidR="00842E2E" w:rsidRDefault="00000000">
      <w:pPr>
        <w:spacing w:after="120" w:line="240" w:lineRule="auto"/>
        <w:ind w:left="432" w:hanging="432"/>
        <w:jc w:val="both"/>
      </w:pPr>
      <w:r>
        <w:t>Braun, V., &amp; Clarke, V. (2006). Using thematic analysis in psychology. Qualitative Research in Psychology, 3(2), 77-101. doi: 10.1191/1478088706qp063oa</w:t>
      </w:r>
    </w:p>
    <w:p w14:paraId="0FAB7BC7" w14:textId="77777777" w:rsidR="00842E2E" w:rsidRDefault="00000000">
      <w:pPr>
        <w:spacing w:after="120" w:line="240" w:lineRule="auto"/>
        <w:ind w:left="432" w:hanging="432"/>
        <w:jc w:val="both"/>
      </w:pPr>
      <w:r>
        <w:t>Cheung, A. C. K., &amp; Slavin, R. E. (2013). The effectiveness of educational technology applications for enhancing mathematics achievement in K-12 classrooms: A meta-analysis. Educational Research Review, 9, 88-113. doi: 10.1016/j.edurev.2013.01.001</w:t>
      </w:r>
    </w:p>
    <w:p w14:paraId="40B84BC6" w14:textId="77777777" w:rsidR="00842E2E" w:rsidRDefault="00000000">
      <w:pPr>
        <w:spacing w:after="120" w:line="240" w:lineRule="auto"/>
        <w:ind w:left="432" w:hanging="432"/>
        <w:jc w:val="both"/>
      </w:pPr>
      <w:r>
        <w:t>Deunk, M. I., Smale-Jacobse, A. E., de Boer, H., Doolaard, S., &amp; Bosker, R. J. (2018). Effective differentiation practices: A systematic review and meta-analysis of studies on the cognitive effects of differentiation practices in primary education. Educational Research Review, 24, 31-54. doi: 10.1016/j.edurev.2018.02.002</w:t>
      </w:r>
    </w:p>
    <w:p w14:paraId="793FCA89" w14:textId="77777777" w:rsidR="00842E2E" w:rsidRDefault="00000000">
      <w:pPr>
        <w:spacing w:after="120" w:line="240" w:lineRule="auto"/>
        <w:ind w:left="432" w:hanging="432"/>
        <w:jc w:val="both"/>
      </w:pPr>
      <w:r>
        <w:t>Eikeland, I., &amp; Ohna, S. E. (2022). Differentiation in education: A configurative review. Nordic Journal of Studies in Educational Policy, 8(3), 157-170. doi: 10.1080/20020317.2022.2039351</w:t>
      </w:r>
    </w:p>
    <w:p w14:paraId="1F49E148" w14:textId="77777777" w:rsidR="00842E2E" w:rsidRDefault="00000000">
      <w:pPr>
        <w:spacing w:after="120" w:line="240" w:lineRule="auto"/>
        <w:ind w:left="432" w:hanging="432"/>
        <w:jc w:val="both"/>
      </w:pPr>
      <w:r>
        <w:t>Faber, J. M., Luyten, H., &amp; Visscher, A. J. (2017). The effects of a digital formative assessment tool on mathematics achievement and student motivation: Results of a randomized experiment. Computers &amp; Education, 106, 83-96. doi: 10.1016/j.compedu.2016.12.001</w:t>
      </w:r>
    </w:p>
    <w:p w14:paraId="70545634" w14:textId="77777777" w:rsidR="00842E2E" w:rsidRDefault="00000000">
      <w:pPr>
        <w:spacing w:after="120" w:line="240" w:lineRule="auto"/>
        <w:ind w:left="432" w:hanging="432"/>
        <w:jc w:val="both"/>
      </w:pPr>
      <w:r>
        <w:t>Falloon, G. (2020). From digital literacy to digital competence: The teacher digital competency framework. Educational Technology Research and Development, 68, 2449-2472. doi: 10.1007/s11423-020-09767-4</w:t>
      </w:r>
    </w:p>
    <w:p w14:paraId="6E7BFAEE" w14:textId="77777777" w:rsidR="00842E2E" w:rsidRDefault="00000000">
      <w:pPr>
        <w:spacing w:after="120" w:line="240" w:lineRule="auto"/>
        <w:ind w:left="432" w:hanging="432"/>
        <w:jc w:val="both"/>
      </w:pPr>
      <w:r>
        <w:t>Goddard, Y. L., Goddard, R. D., &amp; Kim, E. S. (2015). School instructional climate and student achievement: An examination of group norms for differentiated instruction. American Journal of Education, 122(1), 111-131. doi: 10.1086/683293</w:t>
      </w:r>
    </w:p>
    <w:p w14:paraId="255667D6" w14:textId="77777777" w:rsidR="00842E2E" w:rsidRDefault="00000000">
      <w:pPr>
        <w:spacing w:after="120" w:line="240" w:lineRule="auto"/>
        <w:ind w:left="432" w:hanging="432"/>
        <w:jc w:val="both"/>
      </w:pPr>
      <w:r>
        <w:t>Hu, L. (2024). Utilization of differentiated instruction in K-12 classrooms: A systematic literature review (2000-2022). Asia Pacific Education Review, 25(2), 507-525. doi: 10.1007/s12564-024-09931-y</w:t>
      </w:r>
    </w:p>
    <w:p w14:paraId="7EDA3B74" w14:textId="77777777" w:rsidR="00842E2E" w:rsidRDefault="00000000">
      <w:pPr>
        <w:spacing w:after="120" w:line="240" w:lineRule="auto"/>
        <w:ind w:left="432" w:hanging="432"/>
        <w:jc w:val="both"/>
      </w:pPr>
      <w:r>
        <w:t>Ifenthaler, D., &amp; Yau, J. Y. K. (2020). Utilising learning analytics to support study success in higher education: A systematic review. Educational Technology Research and Development, 68, 1961-1990. doi: 10.1007/s11423-020-09788-z</w:t>
      </w:r>
    </w:p>
    <w:p w14:paraId="1527D29F" w14:textId="77777777" w:rsidR="00842E2E" w:rsidRDefault="00000000">
      <w:pPr>
        <w:spacing w:after="120" w:line="240" w:lineRule="auto"/>
        <w:ind w:left="432" w:hanging="432"/>
        <w:jc w:val="both"/>
      </w:pPr>
      <w:r>
        <w:t>Kahmann, R., Droop, M., &amp; Lazonder, A. W. (2022). Meta-analysis of professional development programs in differentiated instruction. International Journal of Educational Research, 116, 102072. doi: 10.1016/j.ijer.2022.102072</w:t>
      </w:r>
    </w:p>
    <w:p w14:paraId="33C7CC71" w14:textId="77777777" w:rsidR="00842E2E" w:rsidRDefault="00000000">
      <w:pPr>
        <w:spacing w:after="120" w:line="240" w:lineRule="auto"/>
        <w:ind w:left="432" w:hanging="432"/>
        <w:jc w:val="both"/>
      </w:pPr>
      <w:r>
        <w:t>Kulik, J. A., &amp; Fletcher, J. D. (2016). Effectiveness of intelligent tutoring systems: A meta-analytic review. Review of Educational Research, 86(1), 42-78. doi: 10.3102/0034654315581420</w:t>
      </w:r>
    </w:p>
    <w:p w14:paraId="12FAEB1D" w14:textId="77777777" w:rsidR="00842E2E" w:rsidRDefault="00000000">
      <w:pPr>
        <w:spacing w:after="120" w:line="240" w:lineRule="auto"/>
        <w:ind w:left="432" w:hanging="432"/>
        <w:jc w:val="both"/>
      </w:pPr>
      <w:r>
        <w:t>Lai, C. P., Zhang, W., &amp; Chang, Y. L. (2020). Differentiated instruction enhances sixth-grade students’ mathematics self-efficacy, learning motives, and problem-solving skills. Social Behavior and Personality: An International Journal, 48(6), e9094. doi: 10.2224/sbp.9094</w:t>
      </w:r>
    </w:p>
    <w:p w14:paraId="3F1A65C4" w14:textId="77777777" w:rsidR="00842E2E" w:rsidRDefault="00000000">
      <w:pPr>
        <w:spacing w:after="120" w:line="240" w:lineRule="auto"/>
        <w:ind w:left="432" w:hanging="432"/>
        <w:jc w:val="both"/>
      </w:pPr>
      <w:r>
        <w:lastRenderedPageBreak/>
        <w:t>Means, B., Toyama, Y., Murphy, R., &amp; Baki, M. (2013). The effectiveness of online and blended learning: A meta-analysis of the empirical literature. Teachers College Record, 115(3), 1-47. doi: 10.1177/016146811311500307</w:t>
      </w:r>
    </w:p>
    <w:p w14:paraId="72BEECD0" w14:textId="77777777" w:rsidR="00842E2E" w:rsidRDefault="00000000">
      <w:pPr>
        <w:spacing w:after="120" w:line="240" w:lineRule="auto"/>
        <w:ind w:left="432" w:hanging="432"/>
        <w:jc w:val="both"/>
      </w:pPr>
      <w:r>
        <w:t>Nowell, L. S., Norris, J. M., White, D. E., &amp; Moules, N. J. (2017). Thematic analysis: Striving to meet the trustworthiness criteria. International Journal of Qualitative Methods, 16(1), 1-13. doi: 10.1177/1609406917733847</w:t>
      </w:r>
    </w:p>
    <w:p w14:paraId="218FD4E3" w14:textId="77777777" w:rsidR="00842E2E" w:rsidRDefault="00000000">
      <w:pPr>
        <w:spacing w:after="120" w:line="240" w:lineRule="auto"/>
        <w:ind w:left="432" w:hanging="432"/>
        <w:jc w:val="both"/>
      </w:pPr>
      <w:r>
        <w:t>Palieraki, S., &amp; Koutrouba, K. (2021). Differentiated instruction in information and communications technology teaching and effective learning in primary education. European Journal of Educational Research, 10(3), 1487-1504. doi: 10.12973/eu-jer.10.3.1487</w:t>
      </w:r>
    </w:p>
    <w:p w14:paraId="25E6BC8B" w14:textId="77777777" w:rsidR="00842E2E" w:rsidRDefault="00000000">
      <w:pPr>
        <w:spacing w:after="120" w:line="240" w:lineRule="auto"/>
        <w:ind w:left="432" w:hanging="432"/>
        <w:jc w:val="both"/>
      </w:pPr>
      <w:r>
        <w:t>Roschelle, J., Shechtman, N., Tatar, D., Hegedus, S., Hopkins, B., Empson, S., Knudsen, J., &amp; Gallagher, L. P. (2010). Integration of technology, curriculum, and professional development for advancing middle school mathematics. American Educational Research Journal, 47(4), 833-878. doi: 10.3102/0002831210367426</w:t>
      </w:r>
    </w:p>
    <w:p w14:paraId="1FDBDD31" w14:textId="77777777" w:rsidR="00842E2E" w:rsidRDefault="00000000">
      <w:pPr>
        <w:spacing w:after="120" w:line="240" w:lineRule="auto"/>
        <w:ind w:left="432" w:hanging="432"/>
        <w:jc w:val="both"/>
      </w:pPr>
      <w:r>
        <w:t>Roy, A., Guay, F., &amp; Valois, P. (2013). Teaching to address diverse learning needs: Development and validation of a differentiated instruction scale. International Journal of Inclusive Education, 17(11), 1186-1204. doi: 10.1080/13603116.2012.743604</w:t>
      </w:r>
    </w:p>
    <w:p w14:paraId="50C15939" w14:textId="77777777" w:rsidR="00842E2E" w:rsidRDefault="00000000">
      <w:pPr>
        <w:spacing w:after="120" w:line="240" w:lineRule="auto"/>
        <w:ind w:left="432" w:hanging="432"/>
        <w:jc w:val="both"/>
      </w:pPr>
      <w:r>
        <w:t>Sailer, M., Murbock, J., &amp; Fischer, F. (2021). Digital learning in schools: What does it take beyond digital technology? Teaching and Teacher Education, 103, 103346. doi: 10.1016/j.tate.2021.103346</w:t>
      </w:r>
    </w:p>
    <w:p w14:paraId="2488B0EE" w14:textId="77777777" w:rsidR="00842E2E" w:rsidRDefault="00000000">
      <w:pPr>
        <w:spacing w:after="120" w:line="240" w:lineRule="auto"/>
        <w:ind w:left="432" w:hanging="432"/>
        <w:jc w:val="both"/>
      </w:pPr>
      <w:r>
        <w:t>Smale-Jacobse, A. E., Meijer, A., Helms-Lorenz, M., &amp; Maulana, R. (2019). Differentiated instruction in secondary education: A systematic review of research evidence. Frontiers in Psychology, 10, 2366. doi: 10.3389/fpsyg.2019.02366</w:t>
      </w:r>
    </w:p>
    <w:p w14:paraId="2AF87068" w14:textId="77777777" w:rsidR="00842E2E" w:rsidRDefault="00000000">
      <w:pPr>
        <w:spacing w:after="120" w:line="240" w:lineRule="auto"/>
        <w:ind w:left="432" w:hanging="432"/>
        <w:jc w:val="both"/>
      </w:pPr>
      <w:r>
        <w:t>Sung, Y. T., Chang, K. E., &amp; Liu, T. C. (2016). The effects of integrating mobile devices with teaching and learning on students’ learning performance: A meta-analysis and research synthesis. Computers &amp; Education, 94, 252-275. doi: 10.1016/j.compedu.2015.11.008</w:t>
      </w:r>
    </w:p>
    <w:p w14:paraId="17FD065F" w14:textId="77777777" w:rsidR="00842E2E" w:rsidRDefault="00000000">
      <w:pPr>
        <w:spacing w:after="120" w:line="240" w:lineRule="auto"/>
        <w:ind w:left="432" w:hanging="432"/>
        <w:jc w:val="both"/>
      </w:pPr>
      <w:r>
        <w:t>Tamim, R. M., Bernard, R. M., Borokhovski, E., Abrami, P. C., &amp; Schmid, R. F. (2011). What forty years of research says about the impact of technology on learning: A second-order meta-analysis and validation study. Review of Educational Research, 81(1), 4-28. doi: 10.3102/0034654310393361</w:t>
      </w:r>
    </w:p>
    <w:p w14:paraId="60EA3404" w14:textId="77777777" w:rsidR="00842E2E" w:rsidRDefault="00000000">
      <w:pPr>
        <w:spacing w:after="120" w:line="240" w:lineRule="auto"/>
        <w:ind w:left="432" w:hanging="432"/>
        <w:jc w:val="both"/>
      </w:pPr>
      <w:r>
        <w:t>Tomlinson, C. A. (2014). The differentiated classroom: Responding to the needs of all learners (2nd ed.). Alexandria, VA: ASCD.</w:t>
      </w:r>
    </w:p>
    <w:p w14:paraId="13DA5E90" w14:textId="77777777" w:rsidR="00842E2E" w:rsidRDefault="00000000">
      <w:pPr>
        <w:spacing w:after="120" w:line="240" w:lineRule="auto"/>
        <w:ind w:left="432" w:hanging="432"/>
        <w:jc w:val="both"/>
      </w:pPr>
      <w:r>
        <w:t>Tondeur, J., van Braak, J., Ertmer, P. A., &amp; Ottenbreit-Leftwich, A. (2017). Understanding the relationship between teachers’ pedagogical beliefs and technology use in education: A systematic review. Educational Technology Research and Development, 65, 555-575. doi: 10.1007/s11423-016-9481-2</w:t>
      </w:r>
    </w:p>
    <w:p w14:paraId="3B6A7D60" w14:textId="77777777" w:rsidR="00842E2E" w:rsidRDefault="00000000">
      <w:pPr>
        <w:spacing w:after="120" w:line="240" w:lineRule="auto"/>
        <w:ind w:left="432" w:hanging="432"/>
        <w:jc w:val="both"/>
      </w:pPr>
      <w:r>
        <w:t>VanLehn, K. (2011). The relative effectiveness of human tutoring, intelligent tutoring systems, and other tutoring systems. Educational Psychologist, 46(4), 197-221. doi: 10.1080/00461520.2011.611369</w:t>
      </w:r>
    </w:p>
    <w:sectPr w:rsidR="00842E2E"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0000000000000000000"/>
    <w:charset w:val="00"/>
    <w:family w:val="auto"/>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omorDafta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omorDafta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PoinDaftar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PoinDaftar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NomorDafta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PoinDaftar"/>
      <w:lvlText w:val=""/>
      <w:lvlJc w:val="left"/>
      <w:pPr>
        <w:tabs>
          <w:tab w:val="num" w:pos="360"/>
        </w:tabs>
        <w:ind w:left="360" w:hanging="360"/>
      </w:pPr>
      <w:rPr>
        <w:rFonts w:ascii="Symbol" w:hAnsi="Symbol" w:hint="default"/>
      </w:rPr>
    </w:lvl>
  </w:abstractNum>
  <w:num w:numId="1" w16cid:durableId="176848661">
    <w:abstractNumId w:val="8"/>
  </w:num>
  <w:num w:numId="2" w16cid:durableId="118762999">
    <w:abstractNumId w:val="6"/>
  </w:num>
  <w:num w:numId="3" w16cid:durableId="794101619">
    <w:abstractNumId w:val="5"/>
  </w:num>
  <w:num w:numId="4" w16cid:durableId="1293680649">
    <w:abstractNumId w:val="4"/>
  </w:num>
  <w:num w:numId="5" w16cid:durableId="1441411738">
    <w:abstractNumId w:val="7"/>
  </w:num>
  <w:num w:numId="6" w16cid:durableId="1668165242">
    <w:abstractNumId w:val="3"/>
  </w:num>
  <w:num w:numId="7" w16cid:durableId="1127314780">
    <w:abstractNumId w:val="2"/>
  </w:num>
  <w:num w:numId="8" w16cid:durableId="1086390335">
    <w:abstractNumId w:val="1"/>
  </w:num>
  <w:num w:numId="9" w16cid:durableId="21436190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3"/>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842E2E"/>
    <w:rsid w:val="00AA1D8D"/>
    <w:rsid w:val="00B47730"/>
    <w:rsid w:val="00BB2E45"/>
    <w:rsid w:val="00C92271"/>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556133B"/>
  <w14:defaultImageDpi w14:val="300"/>
  <w15:docId w15:val="{01F7A3BD-76BE-834F-BA63-F017DB6B7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eastAsia="Calibri" w:hAnsi="Calibri"/>
      <w:sz w:val="24"/>
    </w:rPr>
  </w:style>
  <w:style w:type="paragraph" w:styleId="Judul1">
    <w:name w:val="heading 1"/>
    <w:basedOn w:val="Normal"/>
    <w:next w:val="Normal"/>
    <w:link w:val="Judul1K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Judul2">
    <w:name w:val="heading 2"/>
    <w:basedOn w:val="Normal"/>
    <w:next w:val="Normal"/>
    <w:link w:val="Judul2K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Judul3">
    <w:name w:val="heading 3"/>
    <w:basedOn w:val="Normal"/>
    <w:next w:val="Normal"/>
    <w:link w:val="Judul3K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Judul4">
    <w:name w:val="heading 4"/>
    <w:basedOn w:val="Normal"/>
    <w:next w:val="Normal"/>
    <w:link w:val="Judul4K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Judul5">
    <w:name w:val="heading 5"/>
    <w:basedOn w:val="Normal"/>
    <w:next w:val="Normal"/>
    <w:link w:val="Judul5K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Judul6">
    <w:name w:val="heading 6"/>
    <w:basedOn w:val="Normal"/>
    <w:next w:val="Normal"/>
    <w:link w:val="Judul6K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Judul7">
    <w:name w:val="heading 7"/>
    <w:basedOn w:val="Normal"/>
    <w:next w:val="Normal"/>
    <w:link w:val="Judul7K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Judul8">
    <w:name w:val="heading 8"/>
    <w:basedOn w:val="Normal"/>
    <w:next w:val="Normal"/>
    <w:link w:val="Judul8K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Judul9">
    <w:name w:val="heading 9"/>
    <w:basedOn w:val="Normal"/>
    <w:next w:val="Normal"/>
    <w:link w:val="Judul9K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Header">
    <w:name w:val="header"/>
    <w:basedOn w:val="Normal"/>
    <w:link w:val="HeaderKAR"/>
    <w:uiPriority w:val="99"/>
    <w:unhideWhenUsed/>
    <w:rsid w:val="00E618BF"/>
    <w:pPr>
      <w:tabs>
        <w:tab w:val="center" w:pos="4680"/>
        <w:tab w:val="right" w:pos="9360"/>
      </w:tabs>
      <w:spacing w:after="0" w:line="240" w:lineRule="auto"/>
    </w:pPr>
  </w:style>
  <w:style w:type="character" w:customStyle="1" w:styleId="HeaderKAR">
    <w:name w:val="Header KAR"/>
    <w:basedOn w:val="FontParagrafDefault"/>
    <w:link w:val="Header"/>
    <w:uiPriority w:val="99"/>
    <w:rsid w:val="00E618BF"/>
  </w:style>
  <w:style w:type="paragraph" w:styleId="Footer">
    <w:name w:val="footer"/>
    <w:basedOn w:val="Normal"/>
    <w:link w:val="FooterKAR"/>
    <w:uiPriority w:val="99"/>
    <w:unhideWhenUsed/>
    <w:rsid w:val="00E618BF"/>
    <w:pPr>
      <w:tabs>
        <w:tab w:val="center" w:pos="4680"/>
        <w:tab w:val="right" w:pos="9360"/>
      </w:tabs>
      <w:spacing w:after="0" w:line="240" w:lineRule="auto"/>
    </w:pPr>
  </w:style>
  <w:style w:type="character" w:customStyle="1" w:styleId="FooterKAR">
    <w:name w:val="Footer KAR"/>
    <w:basedOn w:val="FontParagrafDefault"/>
    <w:link w:val="Footer"/>
    <w:uiPriority w:val="99"/>
    <w:rsid w:val="00E618BF"/>
  </w:style>
  <w:style w:type="paragraph" w:styleId="TidakAdaSpasi">
    <w:name w:val="No Spacing"/>
    <w:uiPriority w:val="1"/>
    <w:qFormat/>
    <w:rsid w:val="00FC693F"/>
    <w:pPr>
      <w:spacing w:after="0" w:line="240" w:lineRule="auto"/>
    </w:pPr>
  </w:style>
  <w:style w:type="character" w:customStyle="1" w:styleId="Judul1KAR">
    <w:name w:val="Judul 1 KAR"/>
    <w:basedOn w:val="FontParagrafDefault"/>
    <w:link w:val="Judu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Judul2KAR">
    <w:name w:val="Judul 2 KAR"/>
    <w:basedOn w:val="FontParagrafDefault"/>
    <w:link w:val="Judul2"/>
    <w:uiPriority w:val="9"/>
    <w:rsid w:val="00FC693F"/>
    <w:rPr>
      <w:rFonts w:asciiTheme="majorHAnsi" w:eastAsiaTheme="majorEastAsia" w:hAnsiTheme="majorHAnsi" w:cstheme="majorBidi"/>
      <w:b/>
      <w:bCs/>
      <w:color w:val="4F81BD" w:themeColor="accent1"/>
      <w:sz w:val="26"/>
      <w:szCs w:val="26"/>
    </w:rPr>
  </w:style>
  <w:style w:type="character" w:customStyle="1" w:styleId="Judul3KAR">
    <w:name w:val="Judul 3 KAR"/>
    <w:basedOn w:val="FontParagrafDefault"/>
    <w:link w:val="Judul3"/>
    <w:uiPriority w:val="9"/>
    <w:rsid w:val="00FC693F"/>
    <w:rPr>
      <w:rFonts w:asciiTheme="majorHAnsi" w:eastAsiaTheme="majorEastAsia" w:hAnsiTheme="majorHAnsi" w:cstheme="majorBidi"/>
      <w:b/>
      <w:bCs/>
      <w:color w:val="4F81BD" w:themeColor="accent1"/>
    </w:rPr>
  </w:style>
  <w:style w:type="paragraph" w:styleId="Judul">
    <w:name w:val="Title"/>
    <w:basedOn w:val="Normal"/>
    <w:next w:val="Normal"/>
    <w:link w:val="JudulK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JudulKAR">
    <w:name w:val="Judul KAR"/>
    <w:basedOn w:val="FontParagrafDefault"/>
    <w:link w:val="Judu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judul">
    <w:name w:val="Subtitle"/>
    <w:basedOn w:val="Normal"/>
    <w:next w:val="Normal"/>
    <w:link w:val="SubjudulK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judulKAR">
    <w:name w:val="Subjudul KAR"/>
    <w:basedOn w:val="FontParagrafDefault"/>
    <w:link w:val="Subjudul"/>
    <w:uiPriority w:val="11"/>
    <w:rsid w:val="00FC693F"/>
    <w:rPr>
      <w:rFonts w:asciiTheme="majorHAnsi" w:eastAsiaTheme="majorEastAsia" w:hAnsiTheme="majorHAnsi" w:cstheme="majorBidi"/>
      <w:i/>
      <w:iCs/>
      <w:color w:val="4F81BD" w:themeColor="accent1"/>
      <w:spacing w:val="15"/>
      <w:sz w:val="24"/>
      <w:szCs w:val="24"/>
    </w:rPr>
  </w:style>
  <w:style w:type="paragraph" w:styleId="DaftarParagraf">
    <w:name w:val="List Paragraph"/>
    <w:basedOn w:val="Normal"/>
    <w:uiPriority w:val="34"/>
    <w:qFormat/>
    <w:rsid w:val="00FC693F"/>
    <w:pPr>
      <w:ind w:left="720"/>
      <w:contextualSpacing/>
    </w:pPr>
  </w:style>
  <w:style w:type="paragraph" w:styleId="TeksIsi">
    <w:name w:val="Body Text"/>
    <w:basedOn w:val="Normal"/>
    <w:link w:val="TeksIsiKAR"/>
    <w:uiPriority w:val="99"/>
    <w:unhideWhenUsed/>
    <w:rsid w:val="00AA1D8D"/>
    <w:pPr>
      <w:spacing w:after="120"/>
    </w:pPr>
  </w:style>
  <w:style w:type="character" w:customStyle="1" w:styleId="TeksIsiKAR">
    <w:name w:val="Teks Isi KAR"/>
    <w:basedOn w:val="FontParagrafDefault"/>
    <w:link w:val="TeksIsi"/>
    <w:uiPriority w:val="99"/>
    <w:rsid w:val="00AA1D8D"/>
  </w:style>
  <w:style w:type="paragraph" w:styleId="TeksIsi2">
    <w:name w:val="Body Text 2"/>
    <w:basedOn w:val="Normal"/>
    <w:link w:val="TeksIsi2KAR"/>
    <w:uiPriority w:val="99"/>
    <w:unhideWhenUsed/>
    <w:rsid w:val="00AA1D8D"/>
    <w:pPr>
      <w:spacing w:after="120" w:line="480" w:lineRule="auto"/>
    </w:pPr>
  </w:style>
  <w:style w:type="character" w:customStyle="1" w:styleId="TeksIsi2KAR">
    <w:name w:val="Teks Isi 2 KAR"/>
    <w:basedOn w:val="FontParagrafDefault"/>
    <w:link w:val="TeksIsi2"/>
    <w:uiPriority w:val="99"/>
    <w:rsid w:val="00AA1D8D"/>
  </w:style>
  <w:style w:type="paragraph" w:styleId="TeksIsi3">
    <w:name w:val="Body Text 3"/>
    <w:basedOn w:val="Normal"/>
    <w:link w:val="TeksIsi3KAR"/>
    <w:uiPriority w:val="99"/>
    <w:unhideWhenUsed/>
    <w:rsid w:val="00AA1D8D"/>
    <w:pPr>
      <w:spacing w:after="120"/>
    </w:pPr>
    <w:rPr>
      <w:sz w:val="16"/>
      <w:szCs w:val="16"/>
    </w:rPr>
  </w:style>
  <w:style w:type="character" w:customStyle="1" w:styleId="TeksIsi3KAR">
    <w:name w:val="Teks Isi 3 KAR"/>
    <w:basedOn w:val="FontParagrafDefault"/>
    <w:link w:val="TeksIsi3"/>
    <w:uiPriority w:val="99"/>
    <w:rsid w:val="00AA1D8D"/>
    <w:rPr>
      <w:sz w:val="16"/>
      <w:szCs w:val="16"/>
    </w:rPr>
  </w:style>
  <w:style w:type="paragraph" w:styleId="Daftar">
    <w:name w:val="List"/>
    <w:basedOn w:val="Normal"/>
    <w:uiPriority w:val="99"/>
    <w:unhideWhenUsed/>
    <w:rsid w:val="00AA1D8D"/>
    <w:pPr>
      <w:ind w:left="360" w:hanging="360"/>
      <w:contextualSpacing/>
    </w:pPr>
  </w:style>
  <w:style w:type="paragraph" w:styleId="Daftar2">
    <w:name w:val="List 2"/>
    <w:basedOn w:val="Normal"/>
    <w:uiPriority w:val="99"/>
    <w:unhideWhenUsed/>
    <w:rsid w:val="00326F90"/>
    <w:pPr>
      <w:ind w:left="720" w:hanging="360"/>
      <w:contextualSpacing/>
    </w:pPr>
  </w:style>
  <w:style w:type="paragraph" w:styleId="Daftar3">
    <w:name w:val="List 3"/>
    <w:basedOn w:val="Normal"/>
    <w:uiPriority w:val="99"/>
    <w:unhideWhenUsed/>
    <w:rsid w:val="00326F90"/>
    <w:pPr>
      <w:ind w:left="1080" w:hanging="360"/>
      <w:contextualSpacing/>
    </w:pPr>
  </w:style>
  <w:style w:type="paragraph" w:styleId="PoinDaftar">
    <w:name w:val="List Bullet"/>
    <w:basedOn w:val="Normal"/>
    <w:uiPriority w:val="99"/>
    <w:unhideWhenUsed/>
    <w:rsid w:val="00326F90"/>
    <w:pPr>
      <w:numPr>
        <w:numId w:val="1"/>
      </w:numPr>
      <w:contextualSpacing/>
    </w:pPr>
  </w:style>
  <w:style w:type="paragraph" w:styleId="PoinDaftar2">
    <w:name w:val="List Bullet 2"/>
    <w:basedOn w:val="Normal"/>
    <w:uiPriority w:val="99"/>
    <w:unhideWhenUsed/>
    <w:rsid w:val="00326F90"/>
    <w:pPr>
      <w:numPr>
        <w:numId w:val="2"/>
      </w:numPr>
      <w:contextualSpacing/>
    </w:pPr>
  </w:style>
  <w:style w:type="paragraph" w:styleId="PoinDaftar3">
    <w:name w:val="List Bullet 3"/>
    <w:basedOn w:val="Normal"/>
    <w:uiPriority w:val="99"/>
    <w:unhideWhenUsed/>
    <w:rsid w:val="00326F90"/>
    <w:pPr>
      <w:numPr>
        <w:numId w:val="3"/>
      </w:numPr>
      <w:contextualSpacing/>
    </w:pPr>
  </w:style>
  <w:style w:type="paragraph" w:styleId="NomorDaftar">
    <w:name w:val="List Number"/>
    <w:basedOn w:val="Normal"/>
    <w:uiPriority w:val="99"/>
    <w:unhideWhenUsed/>
    <w:rsid w:val="00326F90"/>
    <w:pPr>
      <w:numPr>
        <w:numId w:val="5"/>
      </w:numPr>
      <w:contextualSpacing/>
    </w:pPr>
  </w:style>
  <w:style w:type="paragraph" w:styleId="NomorDaftar2">
    <w:name w:val="List Number 2"/>
    <w:basedOn w:val="Normal"/>
    <w:uiPriority w:val="99"/>
    <w:unhideWhenUsed/>
    <w:rsid w:val="0029639D"/>
    <w:pPr>
      <w:numPr>
        <w:numId w:val="6"/>
      </w:numPr>
      <w:contextualSpacing/>
    </w:pPr>
  </w:style>
  <w:style w:type="paragraph" w:styleId="NomorDaftar3">
    <w:name w:val="List Number 3"/>
    <w:basedOn w:val="Normal"/>
    <w:uiPriority w:val="99"/>
    <w:unhideWhenUsed/>
    <w:rsid w:val="0029639D"/>
    <w:pPr>
      <w:numPr>
        <w:numId w:val="7"/>
      </w:numPr>
      <w:contextualSpacing/>
    </w:pPr>
  </w:style>
  <w:style w:type="paragraph" w:styleId="DaftarBerkelanjutan">
    <w:name w:val="List Continue"/>
    <w:basedOn w:val="Normal"/>
    <w:uiPriority w:val="99"/>
    <w:unhideWhenUsed/>
    <w:rsid w:val="0029639D"/>
    <w:pPr>
      <w:spacing w:after="120"/>
      <w:ind w:left="360"/>
      <w:contextualSpacing/>
    </w:pPr>
  </w:style>
  <w:style w:type="paragraph" w:styleId="DaftarBerkelanjutan2">
    <w:name w:val="List Continue 2"/>
    <w:basedOn w:val="Normal"/>
    <w:uiPriority w:val="99"/>
    <w:unhideWhenUsed/>
    <w:rsid w:val="0029639D"/>
    <w:pPr>
      <w:spacing w:after="120"/>
      <w:ind w:left="720"/>
      <w:contextualSpacing/>
    </w:pPr>
  </w:style>
  <w:style w:type="paragraph" w:styleId="DaftarBerkelanjutan3">
    <w:name w:val="List Continue 3"/>
    <w:basedOn w:val="Normal"/>
    <w:uiPriority w:val="99"/>
    <w:unhideWhenUsed/>
    <w:rsid w:val="0029639D"/>
    <w:pPr>
      <w:spacing w:after="120"/>
      <w:ind w:left="1080"/>
      <w:contextualSpacing/>
    </w:pPr>
  </w:style>
  <w:style w:type="paragraph" w:styleId="TeksMakro">
    <w:name w:val="macro"/>
    <w:link w:val="TeksMakroK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MakroKAR">
    <w:name w:val="Teks Makro KAR"/>
    <w:basedOn w:val="FontParagrafDefault"/>
    <w:link w:val="TeksMakro"/>
    <w:uiPriority w:val="99"/>
    <w:rsid w:val="0029639D"/>
    <w:rPr>
      <w:rFonts w:ascii="Courier" w:hAnsi="Courier"/>
      <w:sz w:val="20"/>
      <w:szCs w:val="20"/>
    </w:rPr>
  </w:style>
  <w:style w:type="paragraph" w:styleId="Kutipan">
    <w:name w:val="Quote"/>
    <w:basedOn w:val="Normal"/>
    <w:next w:val="Normal"/>
    <w:link w:val="KutipanKAR"/>
    <w:uiPriority w:val="29"/>
    <w:qFormat/>
    <w:rsid w:val="00FC693F"/>
    <w:rPr>
      <w:i/>
      <w:iCs/>
      <w:color w:val="000000" w:themeColor="text1"/>
    </w:rPr>
  </w:style>
  <w:style w:type="character" w:customStyle="1" w:styleId="KutipanKAR">
    <w:name w:val="Kutipan KAR"/>
    <w:basedOn w:val="FontParagrafDefault"/>
    <w:link w:val="Kutipan"/>
    <w:uiPriority w:val="29"/>
    <w:rsid w:val="00FC693F"/>
    <w:rPr>
      <w:i/>
      <w:iCs/>
      <w:color w:val="000000" w:themeColor="text1"/>
    </w:rPr>
  </w:style>
  <w:style w:type="character" w:customStyle="1" w:styleId="Judul4KAR">
    <w:name w:val="Judul 4 KAR"/>
    <w:basedOn w:val="FontParagrafDefault"/>
    <w:link w:val="Judul4"/>
    <w:uiPriority w:val="9"/>
    <w:semiHidden/>
    <w:rsid w:val="00FC693F"/>
    <w:rPr>
      <w:rFonts w:asciiTheme="majorHAnsi" w:eastAsiaTheme="majorEastAsia" w:hAnsiTheme="majorHAnsi" w:cstheme="majorBidi"/>
      <w:b/>
      <w:bCs/>
      <w:i/>
      <w:iCs/>
      <w:color w:val="4F81BD" w:themeColor="accent1"/>
    </w:rPr>
  </w:style>
  <w:style w:type="character" w:customStyle="1" w:styleId="Judul5KAR">
    <w:name w:val="Judul 5 KAR"/>
    <w:basedOn w:val="FontParagrafDefault"/>
    <w:link w:val="Judul5"/>
    <w:uiPriority w:val="9"/>
    <w:semiHidden/>
    <w:rsid w:val="00FC693F"/>
    <w:rPr>
      <w:rFonts w:asciiTheme="majorHAnsi" w:eastAsiaTheme="majorEastAsia" w:hAnsiTheme="majorHAnsi" w:cstheme="majorBidi"/>
      <w:color w:val="243F60" w:themeColor="accent1" w:themeShade="7F"/>
    </w:rPr>
  </w:style>
  <w:style w:type="character" w:customStyle="1" w:styleId="Judul6KAR">
    <w:name w:val="Judul 6 KAR"/>
    <w:basedOn w:val="FontParagrafDefault"/>
    <w:link w:val="Judul6"/>
    <w:uiPriority w:val="9"/>
    <w:semiHidden/>
    <w:rsid w:val="00FC693F"/>
    <w:rPr>
      <w:rFonts w:asciiTheme="majorHAnsi" w:eastAsiaTheme="majorEastAsia" w:hAnsiTheme="majorHAnsi" w:cstheme="majorBidi"/>
      <w:i/>
      <w:iCs/>
      <w:color w:val="243F60" w:themeColor="accent1" w:themeShade="7F"/>
    </w:rPr>
  </w:style>
  <w:style w:type="character" w:customStyle="1" w:styleId="Judul7KAR">
    <w:name w:val="Judul 7 KAR"/>
    <w:basedOn w:val="FontParagrafDefault"/>
    <w:link w:val="Judul7"/>
    <w:uiPriority w:val="9"/>
    <w:semiHidden/>
    <w:rsid w:val="00FC693F"/>
    <w:rPr>
      <w:rFonts w:asciiTheme="majorHAnsi" w:eastAsiaTheme="majorEastAsia" w:hAnsiTheme="majorHAnsi" w:cstheme="majorBidi"/>
      <w:i/>
      <w:iCs/>
      <w:color w:val="404040" w:themeColor="text1" w:themeTint="BF"/>
    </w:rPr>
  </w:style>
  <w:style w:type="character" w:customStyle="1" w:styleId="Judul8KAR">
    <w:name w:val="Judul 8 KAR"/>
    <w:basedOn w:val="FontParagrafDefault"/>
    <w:link w:val="Judul8"/>
    <w:uiPriority w:val="9"/>
    <w:semiHidden/>
    <w:rsid w:val="00FC693F"/>
    <w:rPr>
      <w:rFonts w:asciiTheme="majorHAnsi" w:eastAsiaTheme="majorEastAsia" w:hAnsiTheme="majorHAnsi" w:cstheme="majorBidi"/>
      <w:color w:val="4F81BD" w:themeColor="accent1"/>
      <w:sz w:val="20"/>
      <w:szCs w:val="20"/>
    </w:rPr>
  </w:style>
  <w:style w:type="character" w:customStyle="1" w:styleId="Judul9KAR">
    <w:name w:val="Judul 9 KAR"/>
    <w:basedOn w:val="FontParagrafDefault"/>
    <w:link w:val="Judul9"/>
    <w:uiPriority w:val="9"/>
    <w:semiHidden/>
    <w:rsid w:val="00FC693F"/>
    <w:rPr>
      <w:rFonts w:asciiTheme="majorHAnsi" w:eastAsiaTheme="majorEastAsia" w:hAnsiTheme="majorHAnsi" w:cstheme="majorBidi"/>
      <w:i/>
      <w:iCs/>
      <w:color w:val="404040" w:themeColor="text1" w:themeTint="BF"/>
      <w:sz w:val="20"/>
      <w:szCs w:val="20"/>
    </w:rPr>
  </w:style>
  <w:style w:type="paragraph" w:styleId="Keteranga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Kuat">
    <w:name w:val="Strong"/>
    <w:basedOn w:val="FontParagrafDefault"/>
    <w:uiPriority w:val="22"/>
    <w:qFormat/>
    <w:rsid w:val="00FC693F"/>
    <w:rPr>
      <w:b/>
      <w:bCs/>
    </w:rPr>
  </w:style>
  <w:style w:type="character" w:styleId="Penekanan">
    <w:name w:val="Emphasis"/>
    <w:basedOn w:val="FontParagrafDefault"/>
    <w:uiPriority w:val="20"/>
    <w:qFormat/>
    <w:rsid w:val="00FC693F"/>
    <w:rPr>
      <w:i/>
      <w:iCs/>
    </w:rPr>
  </w:style>
  <w:style w:type="paragraph" w:styleId="KutipanyangSering">
    <w:name w:val="Intense Quote"/>
    <w:basedOn w:val="Normal"/>
    <w:next w:val="Normal"/>
    <w:link w:val="KutipanyangSeringK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KutipanyangSeringKAR">
    <w:name w:val="Kutipan yang Sering KAR"/>
    <w:basedOn w:val="FontParagrafDefault"/>
    <w:link w:val="KutipanyangSering"/>
    <w:uiPriority w:val="30"/>
    <w:rsid w:val="00FC693F"/>
    <w:rPr>
      <w:b/>
      <w:bCs/>
      <w:i/>
      <w:iCs/>
      <w:color w:val="4F81BD" w:themeColor="accent1"/>
    </w:rPr>
  </w:style>
  <w:style w:type="character" w:styleId="PenekananHalus">
    <w:name w:val="Subtle Emphasis"/>
    <w:basedOn w:val="FontParagrafDefault"/>
    <w:uiPriority w:val="19"/>
    <w:qFormat/>
    <w:rsid w:val="00FC693F"/>
    <w:rPr>
      <w:i/>
      <w:iCs/>
      <w:color w:val="808080" w:themeColor="text1" w:themeTint="7F"/>
    </w:rPr>
  </w:style>
  <w:style w:type="character" w:styleId="PenekananKeras">
    <w:name w:val="Intense Emphasis"/>
    <w:basedOn w:val="FontParagrafDefault"/>
    <w:uiPriority w:val="21"/>
    <w:qFormat/>
    <w:rsid w:val="00FC693F"/>
    <w:rPr>
      <w:b/>
      <w:bCs/>
      <w:i/>
      <w:iCs/>
      <w:color w:val="4F81BD" w:themeColor="accent1"/>
    </w:rPr>
  </w:style>
  <w:style w:type="character" w:styleId="ReferensiRumit">
    <w:name w:val="Subtle Reference"/>
    <w:basedOn w:val="FontParagrafDefault"/>
    <w:uiPriority w:val="31"/>
    <w:qFormat/>
    <w:rsid w:val="00FC693F"/>
    <w:rPr>
      <w:smallCaps/>
      <w:color w:val="C0504D" w:themeColor="accent2"/>
      <w:u w:val="single"/>
    </w:rPr>
  </w:style>
  <w:style w:type="character" w:styleId="ReferensiyangSering">
    <w:name w:val="Intense Reference"/>
    <w:basedOn w:val="FontParagrafDefault"/>
    <w:uiPriority w:val="32"/>
    <w:qFormat/>
    <w:rsid w:val="00FC693F"/>
    <w:rPr>
      <w:b/>
      <w:bCs/>
      <w:smallCaps/>
      <w:color w:val="C0504D" w:themeColor="accent2"/>
      <w:spacing w:val="5"/>
      <w:u w:val="single"/>
    </w:rPr>
  </w:style>
  <w:style w:type="character" w:styleId="JudulBuku">
    <w:name w:val="Book Title"/>
    <w:basedOn w:val="FontParagrafDefault"/>
    <w:uiPriority w:val="33"/>
    <w:qFormat/>
    <w:rsid w:val="00FC693F"/>
    <w:rPr>
      <w:b/>
      <w:bCs/>
      <w:smallCaps/>
      <w:spacing w:val="5"/>
    </w:rPr>
  </w:style>
  <w:style w:type="paragraph" w:styleId="JudulTOC">
    <w:name w:val="TOC Heading"/>
    <w:basedOn w:val="Judul1"/>
    <w:next w:val="Normal"/>
    <w:uiPriority w:val="39"/>
    <w:semiHidden/>
    <w:unhideWhenUsed/>
    <w:qFormat/>
    <w:rsid w:val="00FC693F"/>
    <w:pPr>
      <w:outlineLvl w:val="9"/>
    </w:pPr>
  </w:style>
  <w:style w:type="table" w:styleId="KisiTabel">
    <w:name w:val="Table Grid"/>
    <w:basedOn w:val="Tabel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BayanganTipis">
    <w:name w:val="Light Shading"/>
    <w:basedOn w:val="Tabel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BayanganCahaya-Aksen1">
    <w:name w:val="Light Shading Accent 1"/>
    <w:basedOn w:val="Tabel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BayanganCahaya-Aksen2">
    <w:name w:val="Light Shading Accent 2"/>
    <w:basedOn w:val="Tabel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BayanganCahaya-Aksen3">
    <w:name w:val="Light Shading Accent 3"/>
    <w:basedOn w:val="Tabel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BayanganCahaya-Aksen4">
    <w:name w:val="Light Shading Accent 4"/>
    <w:basedOn w:val="Tabel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BayanganCahaya-Aksen5">
    <w:name w:val="Light Shading Accent 5"/>
    <w:basedOn w:val="Tabel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BayanganCahaya-Aksen6">
    <w:name w:val="Light Shading Accent 6"/>
    <w:basedOn w:val="Tabel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DaftarCahaya">
    <w:name w:val="Light List"/>
    <w:basedOn w:val="Tabel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DaftarCahaya-Aksen1">
    <w:name w:val="Light List Accent 1"/>
    <w:basedOn w:val="Tabel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DaftarCahaya-Aksen2">
    <w:name w:val="Light List Accent 2"/>
    <w:basedOn w:val="Tabel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DaftarCahaya-Aksen3">
    <w:name w:val="Light List Accent 3"/>
    <w:basedOn w:val="Tabel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DaftarCahaya-Aksen4">
    <w:name w:val="Light List Accent 4"/>
    <w:basedOn w:val="Tabel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DaftarCahaya-Aksen5">
    <w:name w:val="Light List Accent 5"/>
    <w:basedOn w:val="Tabel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DaftarCahaya-Aksen6">
    <w:name w:val="Light List Accent 6"/>
    <w:basedOn w:val="Tabel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KisiCahaya">
    <w:name w:val="Light Grid"/>
    <w:basedOn w:val="Tabel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KisiCahaya-Aksen1">
    <w:name w:val="Light Grid Accent 1"/>
    <w:basedOn w:val="Tabel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KisiCahaya-Aksen2">
    <w:name w:val="Light Grid Accent 2"/>
    <w:basedOn w:val="Tabel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KisiCahaya-Aksen3">
    <w:name w:val="Light Grid Accent 3"/>
    <w:basedOn w:val="Tabel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KisiCahaya-Aksen4">
    <w:name w:val="Light Grid Accent 4"/>
    <w:basedOn w:val="Tabel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KisiCahaya-Aksen5">
    <w:name w:val="Light Grid Accent 5"/>
    <w:basedOn w:val="Tabel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KisiCahaya-Aksen6">
    <w:name w:val="Light Grid Accent 6"/>
    <w:basedOn w:val="Tabel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BayanganSedang1">
    <w:name w:val="Medium Shading 1"/>
    <w:basedOn w:val="Tabel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BayanganSedang1-Aksen1">
    <w:name w:val="Medium Shading 1 Accent 1"/>
    <w:basedOn w:val="Tabel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BayanganSedang1-Aksen2">
    <w:name w:val="Medium Shading 1 Accent 2"/>
    <w:basedOn w:val="Tabel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BayanganSedang1-Aksen3">
    <w:name w:val="Medium Shading 1 Accent 3"/>
    <w:basedOn w:val="Tabel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BayanganSedang1-Aksen4">
    <w:name w:val="Medium Shading 1 Accent 4"/>
    <w:basedOn w:val="Tabel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BayanganSedang1-Aksen5">
    <w:name w:val="Medium Shading 1 Accent 5"/>
    <w:basedOn w:val="Tabel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BayanganSedang1-Aksen6">
    <w:name w:val="Medium Shading 1 Accent 6"/>
    <w:basedOn w:val="Tabel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BayanganSedang2">
    <w:name w:val="Medium Shading 2"/>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BayanganSedang2-Aksen1">
    <w:name w:val="Medium Shading 2 Accent 1"/>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BayanganSedang2-Aksen2">
    <w:name w:val="Medium Shading 2 Accent 2"/>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BayanganSedang2-Aksen3">
    <w:name w:val="Medium Shading 2 Accent 3"/>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BayanganSedang2-Aksen4">
    <w:name w:val="Medium Shading 2 Accent 4"/>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BayanganSedang2-Aksen5">
    <w:name w:val="Medium Shading 2 Accent 5"/>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BayanganSedang2-Aksen6">
    <w:name w:val="Medium Shading 2 Accent 6"/>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DaftarSedang1">
    <w:name w:val="Medium List 1"/>
    <w:basedOn w:val="Tabel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DaftarSedang1-Aksen1">
    <w:name w:val="Medium List 1 Accent 1"/>
    <w:basedOn w:val="Tabel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DaftarSedang1-Aksen2">
    <w:name w:val="Medium List 1 Accent 2"/>
    <w:basedOn w:val="Tabel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DaftarSedang1-Aksen3">
    <w:name w:val="Medium List 1 Accent 3"/>
    <w:basedOn w:val="Tabel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DaftarSedang1-Aksen4">
    <w:name w:val="Medium List 1 Accent 4"/>
    <w:basedOn w:val="Tabel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DaftarSedang1-Aksen5">
    <w:name w:val="Medium List 1 Accent 5"/>
    <w:basedOn w:val="Tabel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DaftarSedang1-Aksen6">
    <w:name w:val="Medium List 1 Accent 6"/>
    <w:basedOn w:val="Tabel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DaftarSedang2">
    <w:name w:val="Medium List 2"/>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DaftarSedang2-Aksen1">
    <w:name w:val="Medium List 2 Accent 1"/>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DaftarSedang2-Aksen2">
    <w:name w:val="Medium List 2 Accent 2"/>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DaftarSedang2-Aksen3">
    <w:name w:val="Medium List 2 Accent 3"/>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DaftarSedang2-Aksen4">
    <w:name w:val="Medium List 2 Accent 4"/>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DaftarSedang2-Aksen5">
    <w:name w:val="Medium List 2 Accent 5"/>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DaftarSedang2-Aksen6">
    <w:name w:val="Medium List 2 Accent 6"/>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KisiSedang1">
    <w:name w:val="Medium Grid 1"/>
    <w:basedOn w:val="Tabel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isiSedang1-Aksen1">
    <w:name w:val="Medium Grid 1 Accent 1"/>
    <w:basedOn w:val="Tabel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isiSedang1-Aksen2">
    <w:name w:val="Medium Grid 1 Accent 2"/>
    <w:basedOn w:val="Tabel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isiSedang1-Aksen3">
    <w:name w:val="Medium Grid 1 Accent 3"/>
    <w:basedOn w:val="Tabel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isiSedang1-Aksen4">
    <w:name w:val="Medium Grid 1 Accent 4"/>
    <w:basedOn w:val="Tabel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isiSedang1-Aksen5">
    <w:name w:val="Medium Grid 1 Accent 5"/>
    <w:basedOn w:val="Tabel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isiSedang1-Aksen6">
    <w:name w:val="Medium Grid 1 Accent 6"/>
    <w:basedOn w:val="Tabel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isiSedang2">
    <w:name w:val="Medium Grid 2"/>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KisiSedang2-Aksen1">
    <w:name w:val="Medium Grid 2 Accent 1"/>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KisiSedang2-Aksen2">
    <w:name w:val="Medium Grid 2 Accent 2"/>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KisiSedang2-Aksen3">
    <w:name w:val="Medium Grid 2 Accent 3"/>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KisiSedang2-Aksen4">
    <w:name w:val="Medium Grid 2 Accent 4"/>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KisiSedang2-Aksen5">
    <w:name w:val="Medium Grid 2 Accent 5"/>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KisiSedang2-Aksen6">
    <w:name w:val="Medium Grid 2 Accent 6"/>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KisiSedang3">
    <w:name w:val="Medium Grid 3"/>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KisiSedang3-Aksen1">
    <w:name w:val="Medium Grid 3 Accent 1"/>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KisiSedang3-Aksen2">
    <w:name w:val="Medium Grid 3 Accent 2"/>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KisiSedang3-Aksen3">
    <w:name w:val="Medium Grid 3 Accent 3"/>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KisiSedang3-Aksen4">
    <w:name w:val="Medium Grid 3 Accent 4"/>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KisiSedang3-Aksen5">
    <w:name w:val="Medium Grid 3 Accent 5"/>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KisiSedang3-Aksen6">
    <w:name w:val="Medium Grid 3 Accent 6"/>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ftarGelap">
    <w:name w:val="Dark List"/>
    <w:basedOn w:val="Tabel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ftarGelap-Aksen1">
    <w:name w:val="Dark List Accent 1"/>
    <w:basedOn w:val="Tabel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ftarGelap-Aksen2">
    <w:name w:val="Dark List Accent 2"/>
    <w:basedOn w:val="Tabel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ftarGelap-Aksen3">
    <w:name w:val="Dark List Accent 3"/>
    <w:basedOn w:val="Tabel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ftarGelap-Aksen4">
    <w:name w:val="Dark List Accent 4"/>
    <w:basedOn w:val="Tabel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ftarGelap-Aksen5">
    <w:name w:val="Dark List Accent 5"/>
    <w:basedOn w:val="Tabel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ftarGelap-Aksen6">
    <w:name w:val="Dark List Accent 6"/>
    <w:basedOn w:val="Tabel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BayanganBerwarna">
    <w:name w:val="Colorful Shading"/>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BayanganBerwarna-Aksen1">
    <w:name w:val="Colorful Shading Accent 1"/>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BayanganBerwarna-Aksen2">
    <w:name w:val="Colorful Shading Accent 2"/>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BayanganBerwarna-Aksen3">
    <w:name w:val="Colorful Shading Accent 3"/>
    <w:basedOn w:val="Tabel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BayanganBerwarna-Aksen4">
    <w:name w:val="Colorful Shading Accent 4"/>
    <w:basedOn w:val="Tabel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BayanganBerwarna-Aksen5">
    <w:name w:val="Colorful Shading Accent 5"/>
    <w:basedOn w:val="Tabel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BayanganBerwarna-Aksen6">
    <w:name w:val="Colorful Shading Accent 6"/>
    <w:basedOn w:val="Tabel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ftarBerwarna">
    <w:name w:val="Colorful List"/>
    <w:basedOn w:val="Tabel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DaftarBerwarna-Aksen1">
    <w:name w:val="Colorful List Accent 1"/>
    <w:basedOn w:val="Tabel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DaftarBerwarna-Aksen2">
    <w:name w:val="Colorful List Accent 2"/>
    <w:basedOn w:val="Tabel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DaftarBerwarna-Aksen3">
    <w:name w:val="Colorful List Accent 3"/>
    <w:basedOn w:val="Tabel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DaftarBerwarna-Aksen4">
    <w:name w:val="Colorful List Accent 4"/>
    <w:basedOn w:val="Tabel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DaftarBerwarna-Aksen5">
    <w:name w:val="Colorful List Accent 5"/>
    <w:basedOn w:val="Tabel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DaftarBerwarna-Aksen6">
    <w:name w:val="Colorful List Accent 6"/>
    <w:basedOn w:val="Tabel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isiBerwarna">
    <w:name w:val="Colorful Grid"/>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isiBerwarna-Aksen1">
    <w:name w:val="Colorful Grid Accent 1"/>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isiBerwarna-Aksen2">
    <w:name w:val="Colorful Grid Accent 2"/>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isiBerwarna-Aksen3">
    <w:name w:val="Colorful Grid Accent 3"/>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isiBerwarna-Aksen4">
    <w:name w:val="Colorful Grid Accent 4"/>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isiBerwarna-Aksen5">
    <w:name w:val="Colorful Grid Accent 5"/>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isiBerwarna-Aksen6">
    <w:name w:val="Colorful Grid Accent 6"/>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5648</Words>
  <Characters>32194</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37767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Use Of Educational Technology To Support Differentiated Instruction In Primary School Classrooms In Indonesia</dc:title>
  <dc:subject>SENSEI IJEL Article Template</dc:subject>
  <dc:creator>Author Name</dc:creator>
  <cp:keywords>educational technology; differentiated instruction; primary school</cp:keywords>
  <dc:description>generated by python-docx</dc:description>
  <cp:lastModifiedBy>mardhatillah.pasca</cp:lastModifiedBy>
  <cp:revision>2</cp:revision>
  <dcterms:created xsi:type="dcterms:W3CDTF">2026-06-12T02:12:00Z</dcterms:created>
  <dcterms:modified xsi:type="dcterms:W3CDTF">2026-06-12T02:12:00Z</dcterms:modified>
  <cp:category/>
</cp:coreProperties>
</file>