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573D2BE" w14:textId="77777777" w:rsidR="00A043BB" w:rsidRDefault="00A043BB">
      <w:pPr>
        <w:rPr>
          <w:rFonts w:ascii="Bookman Old Style" w:hAnsi="Bookman Old Style" w:cs="Calibri Light"/>
          <w:b/>
          <w:lang w:val="en-US"/>
        </w:rPr>
      </w:pPr>
    </w:p>
    <w:p w14:paraId="6768808A" w14:textId="77777777" w:rsidR="00A043BB" w:rsidRDefault="00000000">
      <w:pPr>
        <w:spacing w:line="276" w:lineRule="auto"/>
        <w:jc w:val="center"/>
      </w:pPr>
      <w:r>
        <w:rPr>
          <w:rFonts w:ascii="Bookman Old Style" w:hAnsi="Bookman Old Style" w:cs="Bookman Old Style"/>
          <w:b/>
          <w:lang w:val="en-US"/>
        </w:rPr>
        <w:t>EXPLORING STUDENTS' MOTIVATION IN LEARNING ENGLISH THROUGH DIGITAL-BASED INSTRUCTION IN INDONESIAN EFL SCHOOL CONTEXTS</w:t>
      </w:r>
    </w:p>
    <w:p w14:paraId="2F180CD8" w14:textId="77777777" w:rsidR="00A043BB" w:rsidRDefault="00A043BB">
      <w:pPr>
        <w:jc w:val="center"/>
        <w:rPr>
          <w:rFonts w:ascii="Bookman Old Style" w:hAnsi="Bookman Old Style" w:cs="Calibri Light"/>
          <w:b/>
          <w:bCs/>
          <w:sz w:val="22"/>
          <w:szCs w:val="22"/>
          <w:lang w:val="en-US"/>
        </w:rPr>
      </w:pPr>
    </w:p>
    <w:p w14:paraId="48B184B9" w14:textId="77777777" w:rsidR="00A043BB" w:rsidRDefault="00000000">
      <w:pPr>
        <w:spacing w:line="276" w:lineRule="auto"/>
        <w:jc w:val="center"/>
        <w:rPr>
          <w:rFonts w:ascii="Bookman Old Style" w:hAnsi="Bookman Old Style" w:cs="Calibri Light"/>
          <w:b/>
          <w:bCs/>
          <w:sz w:val="22"/>
          <w:szCs w:val="22"/>
          <w:lang w:val="en-US"/>
        </w:rPr>
      </w:pPr>
      <w:r>
        <w:rPr>
          <w:rFonts w:ascii="Bookman Old Style" w:hAnsi="Bookman Old Style" w:cs="Bookman Old Style"/>
          <w:b/>
          <w:sz w:val="22"/>
          <w:szCs w:val="22"/>
          <w:lang w:val="en-US"/>
        </w:rPr>
        <w:t>Cempa Huzaimah</w:t>
      </w:r>
      <w:r>
        <w:rPr>
          <w:rFonts w:ascii="Bookman Old Style" w:hAnsi="Bookman Old Style" w:cs="Bookman Old Style"/>
          <w:sz w:val="22"/>
          <w:vertAlign w:val="superscript"/>
        </w:rPr>
        <w:t>1</w:t>
      </w:r>
    </w:p>
    <w:p w14:paraId="5D3D8745" w14:textId="77777777" w:rsidR="00A043BB" w:rsidRPr="003145E4" w:rsidRDefault="00000000" w:rsidP="003145E4">
      <w:pPr>
        <w:jc w:val="center"/>
        <w:rPr>
          <w:rFonts w:ascii="Bookman Old Style" w:hAnsi="Bookman Old Style" w:cs="Calibri Light"/>
          <w:i/>
          <w:vertAlign w:val="superscript"/>
          <w:lang w:val="en-US"/>
        </w:rPr>
      </w:pPr>
      <w:r w:rsidRPr="003145E4">
        <w:rPr>
          <w:rFonts w:ascii="Bookman Old Style" w:hAnsi="Bookman Old Style" w:cs="Bookman Old Style"/>
          <w:i/>
          <w:sz w:val="22"/>
          <w:vertAlign w:val="superscript"/>
          <w:lang w:val="en-US"/>
        </w:rPr>
        <w:t>Univesitas Negeri Malang, Indonesia</w:t>
      </w:r>
    </w:p>
    <w:p w14:paraId="1C7B48A5" w14:textId="7AEA0370" w:rsidR="00A043BB" w:rsidRPr="003145E4" w:rsidRDefault="00000000" w:rsidP="003145E4">
      <w:pPr>
        <w:jc w:val="center"/>
        <w:rPr>
          <w:rFonts w:ascii="Bookman Old Style" w:hAnsi="Bookman Old Style" w:cs="Calibri Light"/>
          <w:i/>
          <w:vertAlign w:val="superscript"/>
          <w:lang w:val="en-US"/>
        </w:rPr>
      </w:pPr>
      <w:r w:rsidRPr="003145E4">
        <w:rPr>
          <w:rFonts w:ascii="Bookman Old Style" w:hAnsi="Bookman Old Style" w:cs="Bookman Old Style"/>
          <w:i/>
          <w:sz w:val="22"/>
          <w:vertAlign w:val="superscript"/>
          <w:lang w:val="en-US"/>
        </w:rPr>
        <w:t xml:space="preserve">Email: </w:t>
      </w:r>
      <w:hyperlink r:id="rId7" w:history="1">
        <w:r w:rsidR="009F438C" w:rsidRPr="00335A37">
          <w:rPr>
            <w:rStyle w:val="Hyperlink"/>
            <w:rFonts w:ascii="Bookman Old Style" w:hAnsi="Bookman Old Style" w:cs="Bookman Old Style"/>
            <w:i/>
            <w:sz w:val="22"/>
            <w:vertAlign w:val="superscript"/>
            <w:lang w:val="en-US"/>
          </w:rPr>
          <w:t>cempa.huzaimah.2521038@students.um.ac.id</w:t>
        </w:r>
      </w:hyperlink>
      <w:r w:rsidR="009F438C">
        <w:rPr>
          <w:rFonts w:ascii="Bookman Old Style" w:hAnsi="Bookman Old Style" w:cs="Bookman Old Style"/>
          <w:i/>
          <w:sz w:val="22"/>
          <w:vertAlign w:val="superscript"/>
          <w:lang w:val="en-US"/>
        </w:rPr>
        <w:t xml:space="preserve"> </w:t>
      </w:r>
      <w:r w:rsidRPr="003145E4">
        <w:rPr>
          <w:rFonts w:ascii="Bookman Old Style" w:hAnsi="Bookman Old Style" w:cs="Bookman Old Style"/>
          <w:i/>
          <w:sz w:val="22"/>
          <w:vertAlign w:val="superscript"/>
          <w:lang w:val="en-US"/>
        </w:rPr>
        <w:t xml:space="preserve"> </w:t>
      </w:r>
    </w:p>
    <w:p w14:paraId="409EAEF8" w14:textId="77777777" w:rsidR="00A043BB" w:rsidRDefault="00000000">
      <w:pPr>
        <w:spacing w:line="276" w:lineRule="auto"/>
        <w:jc w:val="center"/>
      </w:pPr>
      <w:r>
        <w:rPr>
          <w:rFonts w:ascii="Bookman Old Style" w:hAnsi="Bookman Old Style" w:cs="Bookman Old Style"/>
          <w:b/>
          <w:sz w:val="22"/>
          <w:szCs w:val="22"/>
          <w:lang w:val="en-US"/>
        </w:rPr>
        <w:t>Inayatul Muntaqiyah</w:t>
      </w:r>
      <w:r>
        <w:rPr>
          <w:rFonts w:ascii="Bookman Old Style" w:hAnsi="Bookman Old Style" w:cs="Bookman Old Style"/>
          <w:sz w:val="22"/>
          <w:vertAlign w:val="superscript"/>
        </w:rPr>
        <w:t>2</w:t>
      </w:r>
    </w:p>
    <w:p w14:paraId="22AB2F72" w14:textId="77777777" w:rsidR="00A043BB" w:rsidRPr="003145E4" w:rsidRDefault="00000000" w:rsidP="003145E4">
      <w:pPr>
        <w:jc w:val="center"/>
        <w:rPr>
          <w:rFonts w:ascii="Bookman Old Style" w:hAnsi="Bookman Old Style" w:cs="Calibri Light"/>
          <w:i/>
          <w:vertAlign w:val="superscript"/>
          <w:lang w:val="en-US"/>
        </w:rPr>
      </w:pPr>
      <w:r w:rsidRPr="003145E4">
        <w:rPr>
          <w:rFonts w:ascii="Bookman Old Style" w:hAnsi="Bookman Old Style" w:cs="Bookman Old Style"/>
          <w:i/>
          <w:sz w:val="22"/>
          <w:vertAlign w:val="superscript"/>
          <w:lang w:val="en-US"/>
        </w:rPr>
        <w:t>Universitas Jember, Indonesia</w:t>
      </w:r>
    </w:p>
    <w:p w14:paraId="1C47E99B" w14:textId="18CF9F17" w:rsidR="00A043BB" w:rsidRPr="003145E4" w:rsidRDefault="00000000" w:rsidP="003145E4">
      <w:pPr>
        <w:jc w:val="center"/>
        <w:rPr>
          <w:rFonts w:ascii="Bookman Old Style" w:hAnsi="Bookman Old Style" w:cs="Calibri Light"/>
          <w:i/>
          <w:vertAlign w:val="superscript"/>
          <w:lang w:val="en-US"/>
        </w:rPr>
      </w:pPr>
      <w:r w:rsidRPr="003145E4">
        <w:rPr>
          <w:rFonts w:ascii="Bookman Old Style" w:hAnsi="Bookman Old Style" w:cs="Bookman Old Style"/>
          <w:i/>
          <w:sz w:val="22"/>
          <w:vertAlign w:val="superscript"/>
          <w:lang w:val="en-US"/>
        </w:rPr>
        <w:t xml:space="preserve">Email: </w:t>
      </w:r>
      <w:hyperlink r:id="rId8" w:history="1">
        <w:r w:rsidR="009F438C" w:rsidRPr="00335A37">
          <w:rPr>
            <w:rStyle w:val="Hyperlink"/>
            <w:rFonts w:ascii="Bookman Old Style" w:hAnsi="Bookman Old Style" w:cs="Bookman Old Style"/>
            <w:i/>
            <w:sz w:val="22"/>
            <w:vertAlign w:val="superscript"/>
            <w:lang w:val="en-US"/>
          </w:rPr>
          <w:t>inayatul050103@gmail.com</w:t>
        </w:r>
      </w:hyperlink>
      <w:r w:rsidR="009F438C">
        <w:rPr>
          <w:rFonts w:ascii="Bookman Old Style" w:hAnsi="Bookman Old Style" w:cs="Bookman Old Style"/>
          <w:i/>
          <w:sz w:val="22"/>
          <w:vertAlign w:val="superscript"/>
          <w:lang w:val="en-US"/>
        </w:rPr>
        <w:t xml:space="preserve"> </w:t>
      </w:r>
      <w:r w:rsidR="005735F0">
        <w:rPr>
          <w:rFonts w:ascii="Bookman Old Style" w:hAnsi="Bookman Old Style" w:cs="Bookman Old Style"/>
          <w:i/>
          <w:sz w:val="22"/>
          <w:vertAlign w:val="superscript"/>
          <w:lang w:val="en-US"/>
        </w:rPr>
        <w:t>,</w:t>
      </w:r>
      <w:r w:rsidRPr="003145E4">
        <w:rPr>
          <w:rFonts w:ascii="Bookman Old Style" w:hAnsi="Bookman Old Style" w:cs="Bookman Old Style"/>
          <w:i/>
          <w:sz w:val="22"/>
          <w:vertAlign w:val="superscript"/>
          <w:lang w:val="en-US"/>
        </w:rPr>
        <w:t xml:space="preserve"> </w:t>
      </w:r>
    </w:p>
    <w:tbl>
      <w:tblPr>
        <w:tblW w:w="7251" w:type="dxa"/>
        <w:jc w:val="center"/>
        <w:tblLayout w:type="fixed"/>
        <w:tblLook w:val="0000" w:firstRow="0" w:lastRow="0" w:firstColumn="0" w:lastColumn="0" w:noHBand="0" w:noVBand="0"/>
      </w:tblPr>
      <w:tblGrid>
        <w:gridCol w:w="7251"/>
      </w:tblGrid>
      <w:tr w:rsidR="00A043BB" w14:paraId="2BF18471" w14:textId="77777777">
        <w:trPr>
          <w:jc w:val="center"/>
        </w:trPr>
        <w:tc>
          <w:tcPr>
            <w:tcW w:w="7251" w:type="dxa"/>
            <w:tcBorders>
              <w:top w:val="single" w:sz="4" w:space="0" w:color="000000"/>
              <w:bottom w:val="single" w:sz="4" w:space="0" w:color="000000"/>
            </w:tcBorders>
          </w:tcPr>
          <w:p w14:paraId="0DD993D6" w14:textId="77777777" w:rsidR="00A043BB" w:rsidRDefault="00000000">
            <w:pPr>
              <w:spacing w:line="276" w:lineRule="auto"/>
              <w:ind w:left="-108"/>
              <w:jc w:val="both"/>
              <w:rPr>
                <w:rFonts w:ascii="Bookman Old Style" w:hAnsi="Bookman Old Style" w:cs="Calibri Light"/>
                <w:b/>
                <w:bCs/>
                <w:sz w:val="22"/>
                <w:szCs w:val="22"/>
                <w:lang w:val="en-US"/>
              </w:rPr>
            </w:pPr>
            <w:r>
              <w:rPr>
                <w:rFonts w:ascii="Bookman Old Style" w:hAnsi="Bookman Old Style" w:cs="Bookman Old Style"/>
                <w:b/>
                <w:sz w:val="22"/>
              </w:rPr>
              <w:t>Abstract</w:t>
            </w:r>
          </w:p>
          <w:p w14:paraId="6F0938E1" w14:textId="77777777" w:rsidR="00A043BB" w:rsidRDefault="00000000">
            <w:pPr>
              <w:spacing w:line="276" w:lineRule="auto"/>
              <w:jc w:val="both"/>
            </w:pPr>
            <w:r>
              <w:rPr>
                <w:rFonts w:ascii="Bookman Old Style" w:hAnsi="Bookman Old Style" w:cs="Bookman Old Style"/>
                <w:i/>
                <w:sz w:val="22"/>
              </w:rPr>
              <w:t xml:space="preserve">Students' motivation remains a central issue in English as a foreign language learning because it influences their willingness to participate, persist, communicate, and develop autonomous learning habits. In many classroom contexts, students still perceive English as difficult, distant from daily communication, and strongly associated with examination pressure. Digital-based instruction offers opportunities to increase motivation by providing multimodal input, interactive tasks, immediate feedback, flexible access, and more authentic exposure to English. However, the motivational role of digital instruction depends on how students experience the learning process, not merely on the presence of technology. This study aims to explore students' motivation in learning English through digital-based instruction in Indonesian EFL school contexts. A qualitative case study design was employed. Data were collected through semi-structured interviews, focus group discussions, classroom observations, students' reflective journals, and learning document analysis. The participants consisted of 36 junior secondary students and two English teachers. The data were analyzed thematically. The findings revealed four major themes: digital-based instruction increased situational interest, supported learner autonomy, strengthened confidence through feedback and peer interaction, and created motivational tensions related to </w:t>
            </w:r>
            <w:r>
              <w:rPr>
                <w:rFonts w:ascii="Bookman Old Style" w:hAnsi="Bookman Old Style" w:cs="Bookman Old Style"/>
                <w:i/>
                <w:sz w:val="22"/>
              </w:rPr>
              <w:lastRenderedPageBreak/>
              <w:t>distraction, access, fatigue, and English anxiety. The study concludes that digital-based instruction can enhance students' motivation when digital tools are pedagogically structured, emotionally supportive, interactive, and aligned with students' language needs. Technology should therefore be treated as a motivational mediator rather than as an automatic solution for English learning.</w:t>
            </w:r>
          </w:p>
          <w:p w14:paraId="4FD7FC29" w14:textId="77777777" w:rsidR="00A043BB" w:rsidRDefault="00000000">
            <w:pPr>
              <w:spacing w:line="276" w:lineRule="auto"/>
              <w:jc w:val="both"/>
            </w:pPr>
            <w:r>
              <w:rPr>
                <w:rFonts w:ascii="Bookman Old Style" w:hAnsi="Bookman Old Style" w:cs="Bookman Old Style"/>
                <w:b/>
                <w:sz w:val="22"/>
              </w:rPr>
              <w:t xml:space="preserve">Keywords: </w:t>
            </w:r>
            <w:r>
              <w:rPr>
                <w:rFonts w:ascii="Bookman Old Style" w:hAnsi="Bookman Old Style" w:cs="Bookman Old Style"/>
                <w:i/>
                <w:sz w:val="22"/>
              </w:rPr>
              <w:t>digital instruction; English learning; motivation; qualitative study; EFL students</w:t>
            </w:r>
          </w:p>
        </w:tc>
      </w:tr>
      <w:tr w:rsidR="00A043BB" w14:paraId="2C654BAC" w14:textId="77777777">
        <w:trPr>
          <w:jc w:val="center"/>
        </w:trPr>
        <w:tc>
          <w:tcPr>
            <w:tcW w:w="7251" w:type="dxa"/>
            <w:tcBorders>
              <w:top w:val="single" w:sz="4" w:space="0" w:color="000000"/>
              <w:bottom w:val="single" w:sz="4" w:space="0" w:color="000000"/>
            </w:tcBorders>
          </w:tcPr>
          <w:p w14:paraId="6B72AAD4" w14:textId="77777777" w:rsidR="00A043BB" w:rsidRDefault="00000000">
            <w:pPr>
              <w:spacing w:before="120" w:line="360" w:lineRule="auto"/>
              <w:ind w:left="-108"/>
              <w:jc w:val="both"/>
            </w:pPr>
            <w:r>
              <w:lastRenderedPageBreak/>
              <w:t>Article history</w:t>
            </w:r>
          </w:p>
          <w:tbl>
            <w:tblPr>
              <w:tblW w:w="7020" w:type="dxa"/>
              <w:tblLayout w:type="fixed"/>
              <w:tblLook w:val="0000" w:firstRow="0" w:lastRow="0" w:firstColumn="0" w:lastColumn="0" w:noHBand="0" w:noVBand="0"/>
            </w:tblPr>
            <w:tblGrid>
              <w:gridCol w:w="2340"/>
              <w:gridCol w:w="2340"/>
              <w:gridCol w:w="2340"/>
            </w:tblGrid>
            <w:tr w:rsidR="00A043BB" w14:paraId="225BEACE" w14:textId="77777777">
              <w:tc>
                <w:tcPr>
                  <w:tcW w:w="2340" w:type="dxa"/>
                </w:tcPr>
                <w:p w14:paraId="291087AB" w14:textId="77777777" w:rsidR="00A043BB" w:rsidRDefault="00000000">
                  <w:pPr>
                    <w:jc w:val="both"/>
                    <w:rPr>
                      <w:rFonts w:ascii="Bookman Old Style" w:hAnsi="Bookman Old Style" w:cs="Calibri Light"/>
                      <w:i/>
                      <w:iCs/>
                      <w:sz w:val="18"/>
                      <w:szCs w:val="18"/>
                      <w:lang w:val="en-US"/>
                    </w:rPr>
                  </w:pPr>
                  <w:r>
                    <w:rPr>
                      <w:rFonts w:ascii="Bookman Old Style" w:hAnsi="Bookman Old Style" w:cs="Calibri Light"/>
                      <w:i/>
                      <w:iCs/>
                      <w:sz w:val="18"/>
                      <w:szCs w:val="18"/>
                      <w:lang w:val="en-US"/>
                    </w:rPr>
                    <w:t>Received</w:t>
                  </w:r>
                </w:p>
              </w:tc>
              <w:tc>
                <w:tcPr>
                  <w:tcW w:w="2340" w:type="dxa"/>
                </w:tcPr>
                <w:p w14:paraId="7A318050" w14:textId="77777777" w:rsidR="00A043BB" w:rsidRDefault="00000000">
                  <w:pPr>
                    <w:jc w:val="both"/>
                    <w:rPr>
                      <w:rFonts w:ascii="Bookman Old Style" w:hAnsi="Bookman Old Style" w:cs="Calibri Light"/>
                      <w:i/>
                      <w:iCs/>
                      <w:sz w:val="18"/>
                      <w:szCs w:val="18"/>
                      <w:lang w:val="en-US"/>
                    </w:rPr>
                  </w:pPr>
                  <w:r>
                    <w:rPr>
                      <w:rFonts w:ascii="Bookman Old Style" w:hAnsi="Bookman Old Style" w:cs="Calibri Light"/>
                      <w:i/>
                      <w:iCs/>
                      <w:sz w:val="18"/>
                      <w:szCs w:val="18"/>
                      <w:lang w:val="en-US"/>
                    </w:rPr>
                    <w:t>Accepted</w:t>
                  </w:r>
                </w:p>
              </w:tc>
              <w:tc>
                <w:tcPr>
                  <w:tcW w:w="2340" w:type="dxa"/>
                </w:tcPr>
                <w:p w14:paraId="58146B0E" w14:textId="77777777" w:rsidR="00A043BB" w:rsidRDefault="00000000">
                  <w:pPr>
                    <w:jc w:val="both"/>
                    <w:rPr>
                      <w:rFonts w:ascii="Bookman Old Style" w:hAnsi="Bookman Old Style" w:cs="Calibri Light"/>
                      <w:i/>
                      <w:iCs/>
                      <w:sz w:val="18"/>
                      <w:szCs w:val="18"/>
                      <w:lang w:val="en-US"/>
                    </w:rPr>
                  </w:pPr>
                  <w:r>
                    <w:rPr>
                      <w:rFonts w:ascii="Bookman Old Style" w:hAnsi="Bookman Old Style" w:cs="Calibri Light"/>
                      <w:i/>
                      <w:iCs/>
                      <w:sz w:val="18"/>
                      <w:szCs w:val="18"/>
                      <w:lang w:val="en-US"/>
                    </w:rPr>
                    <w:t>Published</w:t>
                  </w:r>
                </w:p>
              </w:tc>
            </w:tr>
            <w:tr w:rsidR="00A043BB" w14:paraId="23785AB2" w14:textId="77777777">
              <w:tc>
                <w:tcPr>
                  <w:tcW w:w="2340" w:type="dxa"/>
                </w:tcPr>
                <w:p w14:paraId="3B4B97D5" w14:textId="459A402C" w:rsidR="00A043BB" w:rsidRDefault="00000000">
                  <w:pPr>
                    <w:jc w:val="both"/>
                    <w:rPr>
                      <w:rFonts w:ascii="Bookman Old Style" w:hAnsi="Bookman Old Style" w:cs="Calibri Light"/>
                      <w:i/>
                      <w:iCs/>
                      <w:sz w:val="18"/>
                      <w:szCs w:val="18"/>
                      <w:lang w:val="en-US"/>
                    </w:rPr>
                  </w:pPr>
                  <w:r>
                    <w:rPr>
                      <w:rFonts w:ascii="Bookman Old Style" w:hAnsi="Bookman Old Style" w:cs="Calibri Light"/>
                      <w:i/>
                      <w:iCs/>
                      <w:sz w:val="18"/>
                      <w:szCs w:val="18"/>
                      <w:lang w:val="en-US"/>
                    </w:rPr>
                    <w:t>Date:</w:t>
                  </w:r>
                  <w:r w:rsidR="003145E4">
                    <w:rPr>
                      <w:rFonts w:ascii="Bookman Old Style" w:hAnsi="Bookman Old Style" w:cs="Calibri Light"/>
                      <w:i/>
                      <w:iCs/>
                      <w:sz w:val="18"/>
                      <w:szCs w:val="18"/>
                      <w:lang w:val="en-US"/>
                    </w:rPr>
                    <w:t xml:space="preserve"> June 1, 2023</w:t>
                  </w:r>
                </w:p>
              </w:tc>
              <w:tc>
                <w:tcPr>
                  <w:tcW w:w="2340" w:type="dxa"/>
                </w:tcPr>
                <w:p w14:paraId="5E0CACA8" w14:textId="7E23CB67" w:rsidR="00A043BB" w:rsidRDefault="00000000">
                  <w:pPr>
                    <w:jc w:val="both"/>
                    <w:rPr>
                      <w:rFonts w:ascii="Bookman Old Style" w:hAnsi="Bookman Old Style" w:cs="Calibri Light"/>
                      <w:i/>
                      <w:iCs/>
                      <w:sz w:val="18"/>
                      <w:szCs w:val="18"/>
                      <w:lang w:val="en-US"/>
                    </w:rPr>
                  </w:pPr>
                  <w:r>
                    <w:rPr>
                      <w:rFonts w:ascii="Bookman Old Style" w:hAnsi="Bookman Old Style" w:cs="Calibri Light"/>
                      <w:i/>
                      <w:iCs/>
                      <w:sz w:val="18"/>
                      <w:szCs w:val="18"/>
                      <w:lang w:val="en-US"/>
                    </w:rPr>
                    <w:t>Date:</w:t>
                  </w:r>
                  <w:r w:rsidR="003145E4">
                    <w:rPr>
                      <w:rFonts w:ascii="Bookman Old Style" w:hAnsi="Bookman Old Style" w:cs="Calibri Light"/>
                      <w:i/>
                      <w:iCs/>
                      <w:sz w:val="18"/>
                      <w:szCs w:val="18"/>
                      <w:lang w:val="en-US"/>
                    </w:rPr>
                    <w:t xml:space="preserve"> June 12, 2023</w:t>
                  </w:r>
                </w:p>
              </w:tc>
              <w:tc>
                <w:tcPr>
                  <w:tcW w:w="2340" w:type="dxa"/>
                </w:tcPr>
                <w:p w14:paraId="2748808D" w14:textId="4214EF09" w:rsidR="00A043BB" w:rsidRDefault="00000000">
                  <w:pPr>
                    <w:jc w:val="both"/>
                    <w:rPr>
                      <w:rFonts w:ascii="Bookman Old Style" w:hAnsi="Bookman Old Style" w:cs="Calibri Light"/>
                      <w:i/>
                      <w:iCs/>
                      <w:sz w:val="18"/>
                      <w:szCs w:val="18"/>
                      <w:lang w:val="en-US"/>
                    </w:rPr>
                  </w:pPr>
                  <w:r>
                    <w:rPr>
                      <w:rFonts w:ascii="Bookman Old Style" w:hAnsi="Bookman Old Style" w:cs="Calibri Light"/>
                      <w:i/>
                      <w:iCs/>
                      <w:sz w:val="18"/>
                      <w:szCs w:val="18"/>
                      <w:lang w:val="en-US"/>
                    </w:rPr>
                    <w:t>Date:</w:t>
                  </w:r>
                  <w:r w:rsidR="003145E4">
                    <w:rPr>
                      <w:rFonts w:ascii="Bookman Old Style" w:hAnsi="Bookman Old Style" w:cs="Calibri Light"/>
                      <w:i/>
                      <w:iCs/>
                      <w:sz w:val="18"/>
                      <w:szCs w:val="18"/>
                      <w:lang w:val="en-US"/>
                    </w:rPr>
                    <w:t xml:space="preserve"> August 15, 2023</w:t>
                  </w:r>
                </w:p>
              </w:tc>
            </w:tr>
          </w:tbl>
          <w:p w14:paraId="5B3C1E5A" w14:textId="77777777" w:rsidR="00A043BB" w:rsidRDefault="00A043BB">
            <w:pPr>
              <w:spacing w:before="120" w:line="360" w:lineRule="auto"/>
              <w:ind w:left="-108"/>
              <w:jc w:val="both"/>
              <w:rPr>
                <w:rFonts w:ascii="Bookman Old Style" w:hAnsi="Bookman Old Style" w:cs="Calibri Light"/>
                <w:b/>
                <w:bCs/>
                <w:sz w:val="22"/>
                <w:szCs w:val="22"/>
                <w:lang w:val="en-US"/>
              </w:rPr>
            </w:pPr>
          </w:p>
        </w:tc>
      </w:tr>
    </w:tbl>
    <w:p w14:paraId="18901DA9" w14:textId="77777777" w:rsidR="003145E4" w:rsidRDefault="003145E4">
      <w:pPr>
        <w:pStyle w:val="DaftarParagraf"/>
        <w:keepNext/>
        <w:shd w:val="clear" w:color="auto" w:fill="FFFFFF"/>
        <w:spacing w:after="0"/>
        <w:ind w:left="0"/>
        <w:jc w:val="both"/>
        <w:rPr>
          <w:rFonts w:ascii="Bookman Old Style" w:hAnsi="Bookman Old Style" w:cs="Calibri Light"/>
          <w:b/>
          <w:lang w:val="en-US"/>
        </w:rPr>
      </w:pPr>
    </w:p>
    <w:p w14:paraId="4514CB51" w14:textId="499C9F17" w:rsidR="00A043BB" w:rsidRDefault="00000000">
      <w:pPr>
        <w:pStyle w:val="DaftarParagraf"/>
        <w:keepNext/>
        <w:shd w:val="clear" w:color="auto" w:fill="FFFFFF"/>
        <w:spacing w:after="0"/>
        <w:ind w:left="0"/>
        <w:jc w:val="both"/>
        <w:rPr>
          <w:rFonts w:ascii="Bookman Old Style" w:hAnsi="Bookman Old Style" w:cs="Calibri Light"/>
          <w:b/>
          <w:lang w:val="en-US"/>
        </w:rPr>
      </w:pPr>
      <w:r>
        <w:rPr>
          <w:rFonts w:ascii="Bookman Old Style" w:hAnsi="Bookman Old Style" w:cs="Calibri Light"/>
          <w:b/>
          <w:lang w:val="en-US"/>
        </w:rPr>
        <w:t>A. Introduction</w:t>
      </w:r>
    </w:p>
    <w:p w14:paraId="49C8C75B" w14:textId="77777777" w:rsidR="00A043BB" w:rsidRDefault="00000000">
      <w:pPr>
        <w:spacing w:line="276" w:lineRule="auto"/>
        <w:ind w:firstLine="720"/>
        <w:jc w:val="both"/>
      </w:pPr>
      <w:r>
        <w:rPr>
          <w:rFonts w:ascii="Bookman Old Style" w:hAnsi="Bookman Old Style" w:cs="Bookman Old Style"/>
          <w:sz w:val="22"/>
        </w:rPr>
        <w:t>Motivation is one of the most important factors in English learning because it influences students' attention, persistence, participation, confidence, and willingness to use the target language, especially where exposure outside the classroom is limited. Students may know English matters for their future but not experience it as meaningful or enjoyable, so many participate only to complete assignments or pass examinations.</w:t>
      </w:r>
    </w:p>
    <w:p w14:paraId="3694BB3C" w14:textId="77777777" w:rsidR="00A043BB" w:rsidRDefault="00000000">
      <w:pPr>
        <w:spacing w:line="276" w:lineRule="auto"/>
        <w:ind w:firstLine="720"/>
        <w:jc w:val="both"/>
      </w:pPr>
      <w:r>
        <w:rPr>
          <w:rFonts w:ascii="Bookman Old Style" w:hAnsi="Bookman Old Style" w:cs="Bookman Old Style"/>
          <w:sz w:val="22"/>
        </w:rPr>
        <w:t>In Indonesian school contexts, students encounter English through lessons, courses, social media, games, music, films, and mobile apps, so English learning is no longer limited to textbooks. However, informal digital exposure does not automatically build sustained motivation; students may enjoy digital English content yet still feel anxious or unmotivated in formal classrooms.</w:t>
      </w:r>
    </w:p>
    <w:p w14:paraId="02DFCA16" w14:textId="77777777" w:rsidR="00A043BB" w:rsidRDefault="00000000">
      <w:pPr>
        <w:spacing w:line="276" w:lineRule="auto"/>
        <w:ind w:firstLine="720"/>
        <w:jc w:val="both"/>
      </w:pPr>
      <w:r>
        <w:rPr>
          <w:rFonts w:ascii="Bookman Old Style" w:hAnsi="Bookman Old Style" w:cs="Bookman Old Style"/>
          <w:sz w:val="22"/>
        </w:rPr>
        <w:t>Digital-based instruction integrates digital tools, platforms, multimedia, online tasks, learning management systems, interactive quizzes, and mobile activities to support learning objectives. In English learning it can provide richer input, varied practice, immediate feedback, and authentic contexts, while supporting autonomy by letting students access, repeat, and review materials beyond class time.</w:t>
      </w:r>
    </w:p>
    <w:p w14:paraId="5E5866F0" w14:textId="77777777" w:rsidR="00A043BB" w:rsidRDefault="00000000">
      <w:pPr>
        <w:spacing w:line="276" w:lineRule="auto"/>
        <w:ind w:firstLine="720"/>
        <w:jc w:val="both"/>
      </w:pPr>
      <w:r>
        <w:rPr>
          <w:rFonts w:ascii="Bookman Old Style" w:hAnsi="Bookman Old Style" w:cs="Bookman Old Style"/>
          <w:sz w:val="22"/>
        </w:rPr>
        <w:t xml:space="preserve">Its motivational potential relates to self-determination theory, which holds that motivation strengthens when learning supports </w:t>
      </w:r>
      <w:r>
        <w:rPr>
          <w:rFonts w:ascii="Bookman Old Style" w:hAnsi="Bookman Old Style" w:cs="Bookman Old Style"/>
          <w:sz w:val="22"/>
        </w:rPr>
        <w:lastRenderedPageBreak/>
        <w:t>autonomy, competence, and relatedness (Deci &amp; Ryan, 2000; Ryan &amp; Deci, 2020). Students may be more motivated when they have control over activities, feel capable of improving, and experience supportive interaction with teachers and peers, which digital instruction can support through choice, feedback, and interactive communities.</w:t>
      </w:r>
    </w:p>
    <w:p w14:paraId="0071E0D5" w14:textId="77777777" w:rsidR="00A043BB" w:rsidRDefault="00000000">
      <w:pPr>
        <w:spacing w:line="276" w:lineRule="auto"/>
        <w:ind w:firstLine="720"/>
        <w:jc w:val="both"/>
      </w:pPr>
      <w:r>
        <w:rPr>
          <w:rFonts w:ascii="Bookman Old Style" w:hAnsi="Bookman Old Style" w:cs="Bookman Old Style"/>
          <w:sz w:val="22"/>
        </w:rPr>
        <w:t>Second language motivation theory connects motivation to identity, future self, emotion, and social context. Ushioda (2011) argues motivation should be understood in relation to learners' self and identity, and Boo, Dornyei, and Ryan (2015) show L2 motivation research has grown into a dynamic field considering psychology, context, and method. In digital environments, motivation may be shaped by how students imagine themselves as English users and how digital platforms connect to daily life.</w:t>
      </w:r>
    </w:p>
    <w:p w14:paraId="2BCAF51E" w14:textId="77777777" w:rsidR="00A043BB" w:rsidRDefault="00000000">
      <w:pPr>
        <w:spacing w:line="276" w:lineRule="auto"/>
        <w:ind w:firstLine="720"/>
        <w:jc w:val="both"/>
      </w:pPr>
      <w:r>
        <w:rPr>
          <w:rFonts w:ascii="Bookman Old Style" w:hAnsi="Bookman Old Style" w:cs="Bookman Old Style"/>
          <w:sz w:val="22"/>
        </w:rPr>
        <w:t>Prior studies show technology supports language learning in various ways: mobile-assisted learning expands opportunities beyond class (Kukulska-Hulme &amp; Shield, 2008; Stockwell, 2010); digital gameplay can increase willingness to communicate (Reinders &amp; Wattana, 2014); informal digital learning of English relates to proficiency, affective variables, and willingness to communicate (Lee &amp; Dressman, 2018; Lee &amp; Drajati, 2019); and technology reviews suggest digital tools help learning when paired with appropriate pedagogy (Golonka, Bowles, Frank, Richardson, &amp; Freynik, 2014; Hwang &amp; Fu, 2019; Sung, Chang, &amp; Yang, 2015).</w:t>
      </w:r>
    </w:p>
    <w:p w14:paraId="242A3A0C" w14:textId="77777777" w:rsidR="00A043BB" w:rsidRDefault="00000000">
      <w:pPr>
        <w:spacing w:line="276" w:lineRule="auto"/>
        <w:ind w:firstLine="720"/>
        <w:jc w:val="both"/>
      </w:pPr>
      <w:r>
        <w:rPr>
          <w:rFonts w:ascii="Bookman Old Style" w:hAnsi="Bookman Old Style" w:cs="Bookman Old Style"/>
          <w:sz w:val="22"/>
        </w:rPr>
        <w:t>Nevertheless, digital instruction does not automatically increase motivation; it can also create distraction, cognitive overload, superficial engagement, unequal access, and digital fatigue. Some students enjoy digital activities without connecting them to learning goals, while others feel anxious when speaking, recording, or submitting work online—so students' motivation needs to be examined from their own perspectives.</w:t>
      </w:r>
    </w:p>
    <w:p w14:paraId="03019B8B" w14:textId="77777777" w:rsidR="00A043BB" w:rsidRDefault="00000000">
      <w:pPr>
        <w:spacing w:line="276" w:lineRule="auto"/>
        <w:ind w:firstLine="720"/>
        <w:jc w:val="both"/>
      </w:pPr>
      <w:r>
        <w:rPr>
          <w:rFonts w:ascii="Bookman Old Style" w:hAnsi="Bookman Old Style" w:cs="Bookman Old Style"/>
          <w:sz w:val="22"/>
        </w:rPr>
        <w:t xml:space="preserve">Most studies on digital learning and motivation rely on quantitative surveys or experiments, which may not fully explain how students interpret digital instruction or what tensions they experience. A qualitative approach is needed to capture students' voices and contextual meanings. This study therefore explores </w:t>
      </w:r>
      <w:r>
        <w:rPr>
          <w:rFonts w:ascii="Bookman Old Style" w:hAnsi="Bookman Old Style" w:cs="Bookman Old Style"/>
          <w:sz w:val="22"/>
        </w:rPr>
        <w:lastRenderedPageBreak/>
        <w:t>students' motivation in learning English through digital-based instruction in Indonesian EFL contexts, asking: (1) how do students experience digital-based instruction; (2) what motivational factors emerge; and (3) what challenges affect their motivation?</w:t>
      </w:r>
    </w:p>
    <w:p w14:paraId="6FB8CFAA" w14:textId="77777777" w:rsidR="00A043BB" w:rsidRDefault="00000000">
      <w:pPr>
        <w:pStyle w:val="DaftarParagraf"/>
        <w:keepNext/>
        <w:spacing w:before="200" w:after="0"/>
        <w:ind w:left="0"/>
        <w:jc w:val="both"/>
      </w:pPr>
      <w:r>
        <w:rPr>
          <w:rFonts w:ascii="Bookman Old Style" w:hAnsi="Bookman Old Style" w:cs="Bookman Old Style"/>
          <w:b/>
        </w:rPr>
        <w:t>B. Method</w:t>
      </w:r>
    </w:p>
    <w:p w14:paraId="20039CBE" w14:textId="77777777" w:rsidR="00A043BB" w:rsidRDefault="00000000">
      <w:pPr>
        <w:spacing w:line="276" w:lineRule="auto"/>
        <w:ind w:firstLine="720"/>
        <w:jc w:val="both"/>
      </w:pPr>
      <w:r>
        <w:rPr>
          <w:rFonts w:ascii="Bookman Old Style" w:hAnsi="Bookman Old Style" w:cs="Bookman Old Style"/>
          <w:sz w:val="22"/>
        </w:rPr>
        <w:t>This study employed a qualitative case study design, chosen to explore students' motivation from their lived experiences and reflective responses within a bounded context: digital-based English instruction in two junior secondary classes.</w:t>
      </w:r>
    </w:p>
    <w:p w14:paraId="45A0EE14" w14:textId="77777777" w:rsidR="00A043BB" w:rsidRDefault="00000000">
      <w:pPr>
        <w:spacing w:line="276" w:lineRule="auto"/>
        <w:ind w:firstLine="720"/>
        <w:jc w:val="both"/>
      </w:pPr>
      <w:r>
        <w:rPr>
          <w:rFonts w:ascii="Bookman Old Style" w:hAnsi="Bookman Old Style" w:cs="Bookman Old Style"/>
          <w:sz w:val="22"/>
        </w:rPr>
        <w:t>The study was conducted in a junior secondary school where teachers had integrated digital tools—presentation slides, learning videos, vocabulary quizzes, audio models, online worksheets, discussion boards, and mobile assignments—connected to objectives such as vocabulary practice, reading, speaking, listening, and writing.</w:t>
      </w:r>
    </w:p>
    <w:p w14:paraId="49DA52ED" w14:textId="77777777" w:rsidR="00A043BB" w:rsidRDefault="00000000">
      <w:pPr>
        <w:spacing w:line="276" w:lineRule="auto"/>
        <w:ind w:firstLine="720"/>
        <w:jc w:val="both"/>
      </w:pPr>
      <w:r>
        <w:rPr>
          <w:rFonts w:ascii="Bookman Old Style" w:hAnsi="Bookman Old Style" w:cs="Bookman Old Style"/>
          <w:sz w:val="22"/>
        </w:rPr>
        <w:t>Participants were 36 Grade VIII students and two English teachers who had used digital instruction for one semester. Of the students, 18 were purposively selected for interviews, representing different achievement levels, participation, and digital learning experience.</w:t>
      </w:r>
    </w:p>
    <w:p w14:paraId="57AC29E2" w14:textId="77777777" w:rsidR="00A043BB" w:rsidRDefault="00000000">
      <w:pPr>
        <w:spacing w:line="276" w:lineRule="auto"/>
        <w:ind w:firstLine="720"/>
        <w:jc w:val="both"/>
      </w:pPr>
      <w:r>
        <w:rPr>
          <w:rFonts w:ascii="Bookman Old Style" w:hAnsi="Bookman Old Style" w:cs="Bookman Old Style"/>
          <w:sz w:val="22"/>
        </w:rPr>
        <w:t>Data were collected through semi-structured interviews, focus group discussions, classroom observations (six lessons), students' reflective journals, and document analysis (lesson plans, materials, quiz results, worksheets, and teacher feedback) to understand students' motivation and how instruction was structured.</w:t>
      </w:r>
    </w:p>
    <w:p w14:paraId="02CFB080" w14:textId="77777777" w:rsidR="00A043BB" w:rsidRDefault="00000000">
      <w:pPr>
        <w:spacing w:line="276" w:lineRule="auto"/>
        <w:ind w:firstLine="720"/>
        <w:jc w:val="both"/>
      </w:pPr>
      <w:r>
        <w:rPr>
          <w:rFonts w:ascii="Bookman Old Style" w:hAnsi="Bookman Old Style" w:cs="Bookman Old Style"/>
          <w:sz w:val="22"/>
        </w:rPr>
        <w:t>Data were analyzed thematically through familiarization, initial coding, theme identification, review, definition, and interpretation (Braun &amp; Clarke, 2006; Nowell, Norris, White, &amp; Moules, 2017), triangulating interviews, observations, journals, and documents.</w:t>
      </w:r>
    </w:p>
    <w:p w14:paraId="74B2D977" w14:textId="77777777" w:rsidR="00A043BB" w:rsidRDefault="00000000">
      <w:pPr>
        <w:spacing w:line="276" w:lineRule="auto"/>
        <w:ind w:firstLine="720"/>
        <w:jc w:val="both"/>
      </w:pPr>
      <w:r>
        <w:rPr>
          <w:rFonts w:ascii="Bookman Old Style" w:hAnsi="Bookman Old Style" w:cs="Bookman Old Style"/>
          <w:sz w:val="22"/>
        </w:rPr>
        <w:t>Trustworthiness was ensured through triangulation, member checking with participants, and peer debriefing with another researcher. Ethical considerations included school permission, explaining the research purpose, anonymizing identities, and ensuring participation did not affect grades.</w:t>
      </w:r>
    </w:p>
    <w:p w14:paraId="0C4DA891" w14:textId="77777777" w:rsidR="00A043BB" w:rsidRDefault="00000000">
      <w:pPr>
        <w:pStyle w:val="DaftarParagraf"/>
        <w:keepNext/>
        <w:spacing w:before="200" w:after="0"/>
        <w:ind w:left="0"/>
        <w:jc w:val="both"/>
      </w:pPr>
      <w:r>
        <w:rPr>
          <w:rFonts w:ascii="Bookman Old Style" w:hAnsi="Bookman Old Style" w:cs="Bookman Old Style"/>
          <w:b/>
        </w:rPr>
        <w:lastRenderedPageBreak/>
        <w:t>C. Finding and Discussion</w:t>
      </w:r>
    </w:p>
    <w:p w14:paraId="1A487029" w14:textId="77777777" w:rsidR="00A043BB" w:rsidRDefault="00000000">
      <w:pPr>
        <w:keepNext/>
        <w:spacing w:before="200" w:line="276" w:lineRule="auto"/>
      </w:pPr>
      <w:r>
        <w:rPr>
          <w:rFonts w:ascii="Bookman Old Style" w:hAnsi="Bookman Old Style" w:cs="Bookman Old Style"/>
          <w:b/>
          <w:sz w:val="22"/>
        </w:rPr>
        <w:t>1. Finding</w:t>
      </w:r>
    </w:p>
    <w:p w14:paraId="6803922F" w14:textId="77777777" w:rsidR="00A043BB" w:rsidRDefault="00000000">
      <w:pPr>
        <w:spacing w:line="276" w:lineRule="auto"/>
        <w:ind w:firstLine="720"/>
        <w:jc w:val="both"/>
      </w:pPr>
      <w:r>
        <w:rPr>
          <w:rFonts w:ascii="Bookman Old Style" w:hAnsi="Bookman Old Style" w:cs="Bookman Old Style"/>
          <w:sz w:val="22"/>
        </w:rPr>
        <w:t>The thematic analysis produced four major themes: situational interest and enjoyment, autonomy and learning control, confidence through feedback and interaction, and motivational tensions. These show that motivation emerged from the interaction between digital tools, teacher facilitation, peer support, task design, and students' emotional responses.</w:t>
      </w:r>
    </w:p>
    <w:p w14:paraId="6C0C053D" w14:textId="77777777" w:rsidR="00A043BB" w:rsidRDefault="00000000">
      <w:pPr>
        <w:keepNext/>
        <w:spacing w:before="200" w:line="276" w:lineRule="auto"/>
      </w:pPr>
      <w:r>
        <w:rPr>
          <w:rFonts w:ascii="Bookman Old Style" w:hAnsi="Bookman Old Style" w:cs="Bookman Old Style"/>
          <w:b/>
          <w:sz w:val="22"/>
        </w:rPr>
        <w:t>Digital-Based Instruction Increased Situational Interest and Enjoyment</w:t>
      </w:r>
    </w:p>
    <w:p w14:paraId="2431F224" w14:textId="77777777" w:rsidR="00A043BB" w:rsidRDefault="00000000">
      <w:pPr>
        <w:spacing w:line="276" w:lineRule="auto"/>
        <w:ind w:firstLine="720"/>
        <w:jc w:val="both"/>
      </w:pPr>
      <w:r>
        <w:rPr>
          <w:rFonts w:ascii="Bookman Old Style" w:hAnsi="Bookman Old Style" w:cs="Bookman Old Style"/>
          <w:sz w:val="22"/>
        </w:rPr>
        <w:t>The first theme indicates digital instruction increased situational interest: students found lessons more attractive with videos, images, audio, and interactive quizzes, describing digital-based instruction as more alive and interesting compared to textbook-dominated lessons.</w:t>
      </w:r>
    </w:p>
    <w:p w14:paraId="2B232805" w14:textId="77777777" w:rsidR="00A043BB" w:rsidRDefault="00000000">
      <w:pPr>
        <w:spacing w:line="276" w:lineRule="auto"/>
        <w:ind w:firstLine="720"/>
        <w:jc w:val="both"/>
      </w:pPr>
      <w:r>
        <w:rPr>
          <w:rFonts w:ascii="Bookman Old Style" w:hAnsi="Bookman Old Style" w:cs="Bookman Old Style"/>
          <w:sz w:val="22"/>
        </w:rPr>
        <w:t>Observations supported this: during digital vocabulary quizzes students showed higher attention and faster responses than during conventional exercises, and were more willing to predict meanings and connect content to their own experience when shown short videos.</w:t>
      </w:r>
    </w:p>
    <w:p w14:paraId="7EC31297" w14:textId="77777777" w:rsidR="00A043BB" w:rsidRDefault="00000000">
      <w:pPr>
        <w:spacing w:line="276" w:lineRule="auto"/>
        <w:ind w:firstLine="720"/>
        <w:jc w:val="both"/>
      </w:pPr>
      <w:r>
        <w:rPr>
          <w:rFonts w:ascii="Bookman Old Style" w:hAnsi="Bookman Old Style" w:cs="Bookman Old Style"/>
          <w:sz w:val="22"/>
        </w:rPr>
        <w:t>Reflective journals showed enjoyment was tied to comprehension, not mere entertainment—audio models helped pronunciation and images helped memory, indicating enjoyment was connected to perceived learning usefulness.</w:t>
      </w:r>
    </w:p>
    <w:p w14:paraId="1CAD35B3" w14:textId="77777777" w:rsidR="00A043BB" w:rsidRDefault="00000000">
      <w:pPr>
        <w:spacing w:line="276" w:lineRule="auto"/>
        <w:ind w:firstLine="720"/>
        <w:jc w:val="both"/>
      </w:pPr>
      <w:r>
        <w:rPr>
          <w:rFonts w:ascii="Bookman Old Style" w:hAnsi="Bookman Old Style" w:cs="Bookman Old Style"/>
          <w:sz w:val="22"/>
        </w:rPr>
        <w:t>However, interest depended on task design: students stayed engaged when activities required thinking, answering, speaking, or collaborating, but became passive when digital media were used only for watching long videos.</w:t>
      </w:r>
    </w:p>
    <w:p w14:paraId="3BF1DDD5" w14:textId="77777777" w:rsidR="00A043BB" w:rsidRDefault="00000000">
      <w:pPr>
        <w:keepNext/>
        <w:spacing w:before="100" w:line="276" w:lineRule="auto"/>
      </w:pPr>
      <w:r>
        <w:rPr>
          <w:rFonts w:ascii="Bookman Old Style" w:hAnsi="Bookman Old Style" w:cs="Bookman Old Style"/>
          <w:sz w:val="22"/>
        </w:rPr>
        <w:t>Table 1. Theme 1: Situational Interest in Digital-Based English Instruction</w:t>
      </w:r>
    </w:p>
    <w:tbl>
      <w:tblPr>
        <w:tblW w:w="0" w:type="auto"/>
        <w:jc w:val="center"/>
        <w:tblCellMar>
          <w:top w:w="20" w:type="dxa"/>
          <w:left w:w="80" w:type="dxa"/>
          <w:bottom w:w="20" w:type="dxa"/>
          <w:right w:w="80" w:type="dxa"/>
        </w:tblCellMar>
        <w:tblLook w:val="04A0" w:firstRow="1" w:lastRow="0" w:firstColumn="1" w:lastColumn="0" w:noHBand="0" w:noVBand="1"/>
      </w:tblPr>
      <w:tblGrid>
        <w:gridCol w:w="2420"/>
        <w:gridCol w:w="2414"/>
        <w:gridCol w:w="2422"/>
      </w:tblGrid>
      <w:tr w:rsidR="00A043BB" w14:paraId="57D7C9F9" w14:textId="77777777">
        <w:trPr>
          <w:jc w:val="center"/>
        </w:trPr>
        <w:tc>
          <w:tcPr>
            <w:tcW w:w="2475" w:type="dxa"/>
            <w:tcBorders>
              <w:top w:val="single" w:sz="4" w:space="0" w:color="000000"/>
              <w:left w:val="nil"/>
              <w:bottom w:val="single" w:sz="4" w:space="0" w:color="000000"/>
              <w:right w:val="nil"/>
            </w:tcBorders>
          </w:tcPr>
          <w:p w14:paraId="48D80AFF" w14:textId="77777777" w:rsidR="00A043BB" w:rsidRDefault="00000000">
            <w:pPr>
              <w:spacing w:line="276" w:lineRule="auto"/>
              <w:jc w:val="center"/>
            </w:pPr>
            <w:r>
              <w:rPr>
                <w:rFonts w:ascii="Bookman Old Style" w:hAnsi="Bookman Old Style" w:cs="Bookman Old Style"/>
                <w:b/>
                <w:sz w:val="18"/>
              </w:rPr>
              <w:t>Subtheme</w:t>
            </w:r>
          </w:p>
        </w:tc>
        <w:tc>
          <w:tcPr>
            <w:tcW w:w="2475" w:type="dxa"/>
            <w:tcBorders>
              <w:top w:val="single" w:sz="4" w:space="0" w:color="000000"/>
              <w:left w:val="nil"/>
              <w:bottom w:val="single" w:sz="4" w:space="0" w:color="000000"/>
              <w:right w:val="nil"/>
            </w:tcBorders>
          </w:tcPr>
          <w:p w14:paraId="232AB194" w14:textId="77777777" w:rsidR="00A043BB" w:rsidRDefault="00000000">
            <w:pPr>
              <w:spacing w:line="276" w:lineRule="auto"/>
              <w:jc w:val="center"/>
            </w:pPr>
            <w:r>
              <w:rPr>
                <w:rFonts w:ascii="Bookman Old Style" w:hAnsi="Bookman Old Style" w:cs="Bookman Old Style"/>
                <w:b/>
                <w:sz w:val="18"/>
              </w:rPr>
              <w:t>Evidence from Data</w:t>
            </w:r>
          </w:p>
        </w:tc>
        <w:tc>
          <w:tcPr>
            <w:tcW w:w="2475" w:type="dxa"/>
            <w:tcBorders>
              <w:top w:val="single" w:sz="4" w:space="0" w:color="000000"/>
              <w:left w:val="nil"/>
              <w:bottom w:val="single" w:sz="4" w:space="0" w:color="000000"/>
              <w:right w:val="nil"/>
            </w:tcBorders>
          </w:tcPr>
          <w:p w14:paraId="37EB458B" w14:textId="77777777" w:rsidR="00A043BB" w:rsidRDefault="00000000">
            <w:pPr>
              <w:spacing w:line="276" w:lineRule="auto"/>
              <w:jc w:val="center"/>
            </w:pPr>
            <w:r>
              <w:rPr>
                <w:rFonts w:ascii="Bookman Old Style" w:hAnsi="Bookman Old Style" w:cs="Bookman Old Style"/>
                <w:b/>
                <w:sz w:val="18"/>
              </w:rPr>
              <w:t>Motivational Meaning</w:t>
            </w:r>
          </w:p>
        </w:tc>
      </w:tr>
      <w:tr w:rsidR="00A043BB" w14:paraId="786A944E" w14:textId="77777777">
        <w:trPr>
          <w:jc w:val="center"/>
        </w:trPr>
        <w:tc>
          <w:tcPr>
            <w:tcW w:w="2475" w:type="dxa"/>
            <w:tcBorders>
              <w:top w:val="nil"/>
              <w:left w:val="nil"/>
              <w:bottom w:val="nil"/>
              <w:right w:val="nil"/>
            </w:tcBorders>
          </w:tcPr>
          <w:p w14:paraId="0C6C458E" w14:textId="77777777" w:rsidR="00A043BB" w:rsidRDefault="00000000">
            <w:pPr>
              <w:spacing w:line="276" w:lineRule="auto"/>
            </w:pPr>
            <w:r>
              <w:rPr>
                <w:rFonts w:ascii="Bookman Old Style" w:hAnsi="Bookman Old Style" w:cs="Bookman Old Style"/>
                <w:sz w:val="18"/>
              </w:rPr>
              <w:t>Visual attraction</w:t>
            </w:r>
          </w:p>
        </w:tc>
        <w:tc>
          <w:tcPr>
            <w:tcW w:w="2475" w:type="dxa"/>
            <w:tcBorders>
              <w:top w:val="nil"/>
              <w:left w:val="nil"/>
              <w:bottom w:val="nil"/>
              <w:right w:val="nil"/>
            </w:tcBorders>
          </w:tcPr>
          <w:p w14:paraId="30B501DF" w14:textId="77777777" w:rsidR="00A043BB" w:rsidRDefault="00000000">
            <w:pPr>
              <w:spacing w:line="276" w:lineRule="auto"/>
            </w:pPr>
            <w:r>
              <w:rPr>
                <w:rFonts w:ascii="Bookman Old Style" w:hAnsi="Bookman Old Style" w:cs="Bookman Old Style"/>
                <w:sz w:val="18"/>
              </w:rPr>
              <w:t>Students responded positively to images, videos, and interactive slides</w:t>
            </w:r>
          </w:p>
        </w:tc>
        <w:tc>
          <w:tcPr>
            <w:tcW w:w="2475" w:type="dxa"/>
            <w:tcBorders>
              <w:top w:val="nil"/>
              <w:left w:val="nil"/>
              <w:bottom w:val="nil"/>
              <w:right w:val="nil"/>
            </w:tcBorders>
          </w:tcPr>
          <w:p w14:paraId="2B15A513" w14:textId="77777777" w:rsidR="00A043BB" w:rsidRDefault="00000000">
            <w:pPr>
              <w:spacing w:line="276" w:lineRule="auto"/>
            </w:pPr>
            <w:r>
              <w:rPr>
                <w:rFonts w:ascii="Bookman Old Style" w:hAnsi="Bookman Old Style" w:cs="Bookman Old Style"/>
                <w:sz w:val="18"/>
              </w:rPr>
              <w:t>Digital input increased attention</w:t>
            </w:r>
          </w:p>
        </w:tc>
      </w:tr>
      <w:tr w:rsidR="00A043BB" w14:paraId="289820CE" w14:textId="77777777">
        <w:trPr>
          <w:jc w:val="center"/>
        </w:trPr>
        <w:tc>
          <w:tcPr>
            <w:tcW w:w="2475" w:type="dxa"/>
            <w:tcBorders>
              <w:top w:val="nil"/>
              <w:left w:val="nil"/>
              <w:bottom w:val="nil"/>
              <w:right w:val="nil"/>
            </w:tcBorders>
          </w:tcPr>
          <w:p w14:paraId="2BC85C57" w14:textId="77777777" w:rsidR="00A043BB" w:rsidRDefault="00000000">
            <w:pPr>
              <w:spacing w:line="276" w:lineRule="auto"/>
            </w:pPr>
            <w:r>
              <w:rPr>
                <w:rFonts w:ascii="Bookman Old Style" w:hAnsi="Bookman Old Style" w:cs="Bookman Old Style"/>
                <w:sz w:val="18"/>
              </w:rPr>
              <w:lastRenderedPageBreak/>
              <w:t>Enjoyable learning atmosphere</w:t>
            </w:r>
          </w:p>
        </w:tc>
        <w:tc>
          <w:tcPr>
            <w:tcW w:w="2475" w:type="dxa"/>
            <w:tcBorders>
              <w:top w:val="nil"/>
              <w:left w:val="nil"/>
              <w:bottom w:val="nil"/>
              <w:right w:val="nil"/>
            </w:tcBorders>
          </w:tcPr>
          <w:p w14:paraId="408B2D94" w14:textId="77777777" w:rsidR="00A043BB" w:rsidRDefault="00000000">
            <w:pPr>
              <w:spacing w:line="276" w:lineRule="auto"/>
            </w:pPr>
            <w:r>
              <w:rPr>
                <w:rFonts w:ascii="Bookman Old Style" w:hAnsi="Bookman Old Style" w:cs="Bookman Old Style"/>
                <w:sz w:val="18"/>
              </w:rPr>
              <w:t>Students described lessons as more interesting and less monotonous</w:t>
            </w:r>
          </w:p>
        </w:tc>
        <w:tc>
          <w:tcPr>
            <w:tcW w:w="2475" w:type="dxa"/>
            <w:tcBorders>
              <w:top w:val="nil"/>
              <w:left w:val="nil"/>
              <w:bottom w:val="nil"/>
              <w:right w:val="nil"/>
            </w:tcBorders>
          </w:tcPr>
          <w:p w14:paraId="3660548B" w14:textId="77777777" w:rsidR="00A043BB" w:rsidRDefault="00000000">
            <w:pPr>
              <w:spacing w:line="276" w:lineRule="auto"/>
            </w:pPr>
            <w:r>
              <w:rPr>
                <w:rFonts w:ascii="Bookman Old Style" w:hAnsi="Bookman Old Style" w:cs="Bookman Old Style"/>
                <w:sz w:val="18"/>
              </w:rPr>
              <w:t>Enjoyment reduced learning boredom</w:t>
            </w:r>
          </w:p>
        </w:tc>
      </w:tr>
      <w:tr w:rsidR="00A043BB" w14:paraId="7794046F" w14:textId="77777777">
        <w:trPr>
          <w:jc w:val="center"/>
        </w:trPr>
        <w:tc>
          <w:tcPr>
            <w:tcW w:w="2475" w:type="dxa"/>
            <w:tcBorders>
              <w:top w:val="nil"/>
              <w:left w:val="nil"/>
              <w:bottom w:val="nil"/>
              <w:right w:val="nil"/>
            </w:tcBorders>
          </w:tcPr>
          <w:p w14:paraId="6F2F3D2C" w14:textId="77777777" w:rsidR="00A043BB" w:rsidRDefault="00000000">
            <w:pPr>
              <w:spacing w:line="276" w:lineRule="auto"/>
            </w:pPr>
            <w:r>
              <w:rPr>
                <w:rFonts w:ascii="Bookman Old Style" w:hAnsi="Bookman Old Style" w:cs="Bookman Old Style"/>
                <w:sz w:val="18"/>
              </w:rPr>
              <w:t>Easier comprehension</w:t>
            </w:r>
          </w:p>
        </w:tc>
        <w:tc>
          <w:tcPr>
            <w:tcW w:w="2475" w:type="dxa"/>
            <w:tcBorders>
              <w:top w:val="nil"/>
              <w:left w:val="nil"/>
              <w:bottom w:val="nil"/>
              <w:right w:val="nil"/>
            </w:tcBorders>
          </w:tcPr>
          <w:p w14:paraId="024AC5FC" w14:textId="77777777" w:rsidR="00A043BB" w:rsidRDefault="00000000">
            <w:pPr>
              <w:spacing w:line="276" w:lineRule="auto"/>
            </w:pPr>
            <w:r>
              <w:rPr>
                <w:rFonts w:ascii="Bookman Old Style" w:hAnsi="Bookman Old Style" w:cs="Bookman Old Style"/>
                <w:sz w:val="18"/>
              </w:rPr>
              <w:t>Students used visuals and audio to understand vocabulary and pronunciation</w:t>
            </w:r>
          </w:p>
        </w:tc>
        <w:tc>
          <w:tcPr>
            <w:tcW w:w="2475" w:type="dxa"/>
            <w:tcBorders>
              <w:top w:val="nil"/>
              <w:left w:val="nil"/>
              <w:bottom w:val="nil"/>
              <w:right w:val="nil"/>
            </w:tcBorders>
          </w:tcPr>
          <w:p w14:paraId="099A17E9" w14:textId="77777777" w:rsidR="00A043BB" w:rsidRDefault="00000000">
            <w:pPr>
              <w:spacing w:line="276" w:lineRule="auto"/>
            </w:pPr>
            <w:r>
              <w:rPr>
                <w:rFonts w:ascii="Bookman Old Style" w:hAnsi="Bookman Old Style" w:cs="Bookman Old Style"/>
                <w:sz w:val="18"/>
              </w:rPr>
              <w:t>Comprehension supported motivation</w:t>
            </w:r>
          </w:p>
        </w:tc>
      </w:tr>
      <w:tr w:rsidR="00A043BB" w14:paraId="485D6F3E" w14:textId="77777777">
        <w:trPr>
          <w:jc w:val="center"/>
        </w:trPr>
        <w:tc>
          <w:tcPr>
            <w:tcW w:w="2475" w:type="dxa"/>
            <w:tcBorders>
              <w:top w:val="nil"/>
              <w:left w:val="nil"/>
              <w:bottom w:val="single" w:sz="4" w:space="0" w:color="000000"/>
              <w:right w:val="nil"/>
            </w:tcBorders>
          </w:tcPr>
          <w:p w14:paraId="047B0F67" w14:textId="77777777" w:rsidR="00A043BB" w:rsidRDefault="00000000">
            <w:pPr>
              <w:spacing w:line="276" w:lineRule="auto"/>
            </w:pPr>
            <w:r>
              <w:rPr>
                <w:rFonts w:ascii="Bookman Old Style" w:hAnsi="Bookman Old Style" w:cs="Bookman Old Style"/>
                <w:sz w:val="18"/>
              </w:rPr>
              <w:t>Active task participation</w:t>
            </w:r>
          </w:p>
        </w:tc>
        <w:tc>
          <w:tcPr>
            <w:tcW w:w="2475" w:type="dxa"/>
            <w:tcBorders>
              <w:top w:val="nil"/>
              <w:left w:val="nil"/>
              <w:bottom w:val="single" w:sz="4" w:space="0" w:color="000000"/>
              <w:right w:val="nil"/>
            </w:tcBorders>
          </w:tcPr>
          <w:p w14:paraId="000A9AFE" w14:textId="77777777" w:rsidR="00A043BB" w:rsidRDefault="00000000">
            <w:pPr>
              <w:spacing w:line="276" w:lineRule="auto"/>
            </w:pPr>
            <w:r>
              <w:rPr>
                <w:rFonts w:ascii="Bookman Old Style" w:hAnsi="Bookman Old Style" w:cs="Bookman Old Style"/>
                <w:sz w:val="18"/>
              </w:rPr>
              <w:t>Students were more engaged in quizzes, prediction tasks, and interactive exercises</w:t>
            </w:r>
          </w:p>
        </w:tc>
        <w:tc>
          <w:tcPr>
            <w:tcW w:w="2475" w:type="dxa"/>
            <w:tcBorders>
              <w:top w:val="nil"/>
              <w:left w:val="nil"/>
              <w:bottom w:val="single" w:sz="4" w:space="0" w:color="000000"/>
              <w:right w:val="nil"/>
            </w:tcBorders>
          </w:tcPr>
          <w:p w14:paraId="31E8BB12" w14:textId="77777777" w:rsidR="00A043BB" w:rsidRDefault="00000000">
            <w:pPr>
              <w:spacing w:line="276" w:lineRule="auto"/>
            </w:pPr>
            <w:r>
              <w:rPr>
                <w:rFonts w:ascii="Bookman Old Style" w:hAnsi="Bookman Old Style" w:cs="Bookman Old Style"/>
                <w:sz w:val="18"/>
              </w:rPr>
              <w:t>Interaction sustained interest</w:t>
            </w:r>
          </w:p>
        </w:tc>
      </w:tr>
    </w:tbl>
    <w:p w14:paraId="572C2F35" w14:textId="77777777" w:rsidR="00A043BB" w:rsidRDefault="00000000">
      <w:pPr>
        <w:spacing w:line="276" w:lineRule="auto"/>
      </w:pPr>
      <w:r>
        <w:rPr>
          <w:rFonts w:ascii="Bookman Old Style" w:hAnsi="Bookman Old Style" w:cs="Bookman Old Style"/>
          <w:i/>
          <w:sz w:val="20"/>
        </w:rPr>
        <w:t>Source: Synthesized from interviews, observations, and reflective journals.</w:t>
      </w:r>
    </w:p>
    <w:p w14:paraId="551BF3BF" w14:textId="77777777" w:rsidR="00A043BB" w:rsidRDefault="00000000">
      <w:pPr>
        <w:keepNext/>
        <w:spacing w:before="200" w:line="276" w:lineRule="auto"/>
      </w:pPr>
      <w:r>
        <w:rPr>
          <w:rFonts w:ascii="Bookman Old Style" w:hAnsi="Bookman Old Style" w:cs="Bookman Old Style"/>
          <w:b/>
          <w:sz w:val="22"/>
        </w:rPr>
        <w:t>Digital Instruction Supported Autonomy and Learning Control</w:t>
      </w:r>
    </w:p>
    <w:p w14:paraId="2C62CB04" w14:textId="77777777" w:rsidR="00A043BB" w:rsidRDefault="00000000">
      <w:pPr>
        <w:spacing w:line="276" w:lineRule="auto"/>
        <w:ind w:firstLine="720"/>
        <w:jc w:val="both"/>
      </w:pPr>
      <w:r>
        <w:rPr>
          <w:rFonts w:ascii="Bookman Old Style" w:hAnsi="Bookman Old Style" w:cs="Bookman Old Style"/>
          <w:sz w:val="22"/>
        </w:rPr>
        <w:t>The second theme shows digital instruction supported autonomy: students could review vocabulary, replay videos, check pronunciation, and access materials outside class at their own pace, making them feel more responsible for learning.</w:t>
      </w:r>
    </w:p>
    <w:p w14:paraId="6513301E" w14:textId="77777777" w:rsidR="00A043BB" w:rsidRDefault="00000000">
      <w:pPr>
        <w:spacing w:line="276" w:lineRule="auto"/>
        <w:ind w:firstLine="720"/>
        <w:jc w:val="both"/>
      </w:pPr>
      <w:r>
        <w:rPr>
          <w:rFonts w:ascii="Bookman Old Style" w:hAnsi="Bookman Old Style" w:cs="Bookman Old Style"/>
          <w:sz w:val="22"/>
        </w:rPr>
        <w:t>This was visible in mobile-based assignments, where students reviewed vocabulary via flashcards and audio and practiced more frequently without waiting for the next class—extending learning beyond classroom time.</w:t>
      </w:r>
    </w:p>
    <w:p w14:paraId="2C29DCAB" w14:textId="77777777" w:rsidR="00A043BB" w:rsidRDefault="00000000">
      <w:pPr>
        <w:spacing w:line="276" w:lineRule="auto"/>
        <w:ind w:firstLine="720"/>
        <w:jc w:val="both"/>
      </w:pPr>
      <w:r>
        <w:rPr>
          <w:rFonts w:ascii="Bookman Old Style" w:hAnsi="Bookman Old Style" w:cs="Bookman Old Style"/>
          <w:sz w:val="22"/>
        </w:rPr>
        <w:t>Autonomy also involved choice: students could select topics, images, or formats, which made them feel more involved in decisions about their own learning, supporting motivation through a sense of control.</w:t>
      </w:r>
    </w:p>
    <w:p w14:paraId="5D0369EE" w14:textId="77777777" w:rsidR="00A043BB" w:rsidRDefault="00000000">
      <w:pPr>
        <w:spacing w:line="276" w:lineRule="auto"/>
        <w:ind w:firstLine="720"/>
        <w:jc w:val="both"/>
      </w:pPr>
      <w:r>
        <w:rPr>
          <w:rFonts w:ascii="Bookman Old Style" w:hAnsi="Bookman Old Style" w:cs="Bookman Old Style"/>
          <w:sz w:val="22"/>
        </w:rPr>
        <w:t>However, autonomy was not equal for all students; those less used to independent digital learning, especially with weaker proficiency, needed more guidance, showing that autonomy should be scaffolded with clear instructions, models, and feedback.</w:t>
      </w:r>
    </w:p>
    <w:p w14:paraId="6703B92F" w14:textId="77777777" w:rsidR="00A043BB" w:rsidRDefault="00000000">
      <w:pPr>
        <w:keepNext/>
        <w:spacing w:before="200" w:line="276" w:lineRule="auto"/>
      </w:pPr>
      <w:r>
        <w:rPr>
          <w:rFonts w:ascii="Bookman Old Style" w:hAnsi="Bookman Old Style" w:cs="Bookman Old Style"/>
          <w:b/>
          <w:sz w:val="22"/>
        </w:rPr>
        <w:t>Feedback and Peer Interaction Strengthened Confidence</w:t>
      </w:r>
    </w:p>
    <w:p w14:paraId="14E4253B" w14:textId="77777777" w:rsidR="00A043BB" w:rsidRDefault="00000000">
      <w:pPr>
        <w:spacing w:line="276" w:lineRule="auto"/>
        <w:ind w:firstLine="720"/>
        <w:jc w:val="both"/>
      </w:pPr>
      <w:r>
        <w:rPr>
          <w:rFonts w:ascii="Bookman Old Style" w:hAnsi="Bookman Old Style" w:cs="Bookman Old Style"/>
          <w:sz w:val="22"/>
        </w:rPr>
        <w:t>The third theme concerns confidence: students felt more motivated when digital tools gave immediate feedback, since interactive quizzes let them recognize mistakes quickly and want to try again.</w:t>
      </w:r>
    </w:p>
    <w:p w14:paraId="0F750428" w14:textId="77777777" w:rsidR="00A043BB" w:rsidRDefault="00000000">
      <w:pPr>
        <w:spacing w:line="276" w:lineRule="auto"/>
        <w:ind w:firstLine="720"/>
        <w:jc w:val="both"/>
      </w:pPr>
      <w:r>
        <w:rPr>
          <w:rFonts w:ascii="Bookman Old Style" w:hAnsi="Bookman Old Style" w:cs="Bookman Old Style"/>
          <w:sz w:val="22"/>
        </w:rPr>
        <w:t xml:space="preserve">Digital instruction also supported peer interaction: collaborative online tasks reduced fear of mistakes since students </w:t>
      </w:r>
      <w:r>
        <w:rPr>
          <w:rFonts w:ascii="Bookman Old Style" w:hAnsi="Bookman Old Style" w:cs="Bookman Old Style"/>
          <w:sz w:val="22"/>
        </w:rPr>
        <w:lastRenderedPageBreak/>
        <w:t>could discuss answers with friends first, making learning feel less intimidating.</w:t>
      </w:r>
    </w:p>
    <w:p w14:paraId="172D1D18" w14:textId="77777777" w:rsidR="00A043BB" w:rsidRDefault="00000000">
      <w:pPr>
        <w:spacing w:line="276" w:lineRule="auto"/>
        <w:ind w:firstLine="720"/>
        <w:jc w:val="both"/>
      </w:pPr>
      <w:r>
        <w:rPr>
          <w:rFonts w:ascii="Bookman Old Style" w:hAnsi="Bookman Old Style" w:cs="Bookman Old Style"/>
          <w:sz w:val="22"/>
        </w:rPr>
        <w:t>Speaking tasks became more manageable when students could record and repeat responses before submitting, reducing anxiety, though some remained uncomfortable hearing their own pronunciation—showing speaking tasks must be introduced gradually.</w:t>
      </w:r>
    </w:p>
    <w:p w14:paraId="38C1DBCA" w14:textId="77777777" w:rsidR="00A043BB" w:rsidRDefault="00000000">
      <w:pPr>
        <w:spacing w:line="276" w:lineRule="auto"/>
        <w:ind w:firstLine="720"/>
        <w:jc w:val="both"/>
      </w:pPr>
      <w:r>
        <w:rPr>
          <w:rFonts w:ascii="Bookman Old Style" w:hAnsi="Bookman Old Style" w:cs="Bookman Old Style"/>
          <w:sz w:val="22"/>
        </w:rPr>
        <w:t>Teacher feedback remained essential: digital platforms made comments and scores more efficient, but students still needed personal encouragement from teachers, showing technology cannot replace relational aspects of motivation.</w:t>
      </w:r>
    </w:p>
    <w:p w14:paraId="0019A576" w14:textId="77777777" w:rsidR="00A043BB" w:rsidRDefault="00000000">
      <w:pPr>
        <w:keepNext/>
        <w:spacing w:before="100" w:line="276" w:lineRule="auto"/>
      </w:pPr>
      <w:r>
        <w:rPr>
          <w:rFonts w:ascii="Bookman Old Style" w:hAnsi="Bookman Old Style" w:cs="Bookman Old Style"/>
          <w:sz w:val="22"/>
        </w:rPr>
        <w:t>Table 2. Theme 2 and Theme 3: Autonomy, Feedback, and Confidence</w:t>
      </w:r>
    </w:p>
    <w:tbl>
      <w:tblPr>
        <w:tblW w:w="0" w:type="auto"/>
        <w:jc w:val="center"/>
        <w:tblCellMar>
          <w:top w:w="20" w:type="dxa"/>
          <w:left w:w="80" w:type="dxa"/>
          <w:bottom w:w="20" w:type="dxa"/>
          <w:right w:w="80" w:type="dxa"/>
        </w:tblCellMar>
        <w:tblLook w:val="04A0" w:firstRow="1" w:lastRow="0" w:firstColumn="1" w:lastColumn="0" w:noHBand="0" w:noVBand="1"/>
      </w:tblPr>
      <w:tblGrid>
        <w:gridCol w:w="2416"/>
        <w:gridCol w:w="2420"/>
        <w:gridCol w:w="2420"/>
      </w:tblGrid>
      <w:tr w:rsidR="00A043BB" w14:paraId="408D3486" w14:textId="77777777">
        <w:trPr>
          <w:jc w:val="center"/>
        </w:trPr>
        <w:tc>
          <w:tcPr>
            <w:tcW w:w="2475" w:type="dxa"/>
            <w:tcBorders>
              <w:top w:val="single" w:sz="4" w:space="0" w:color="000000"/>
              <w:left w:val="nil"/>
              <w:bottom w:val="single" w:sz="4" w:space="0" w:color="000000"/>
              <w:right w:val="nil"/>
            </w:tcBorders>
          </w:tcPr>
          <w:p w14:paraId="72ED4182" w14:textId="77777777" w:rsidR="00A043BB" w:rsidRDefault="00000000">
            <w:pPr>
              <w:spacing w:line="276" w:lineRule="auto"/>
              <w:jc w:val="center"/>
            </w:pPr>
            <w:r>
              <w:rPr>
                <w:rFonts w:ascii="Bookman Old Style" w:hAnsi="Bookman Old Style" w:cs="Bookman Old Style"/>
                <w:b/>
                <w:sz w:val="18"/>
              </w:rPr>
              <w:t>Motivational Factor</w:t>
            </w:r>
          </w:p>
        </w:tc>
        <w:tc>
          <w:tcPr>
            <w:tcW w:w="2475" w:type="dxa"/>
            <w:tcBorders>
              <w:top w:val="single" w:sz="4" w:space="0" w:color="000000"/>
              <w:left w:val="nil"/>
              <w:bottom w:val="single" w:sz="4" w:space="0" w:color="000000"/>
              <w:right w:val="nil"/>
            </w:tcBorders>
          </w:tcPr>
          <w:p w14:paraId="12F7076D" w14:textId="77777777" w:rsidR="00A043BB" w:rsidRDefault="00000000">
            <w:pPr>
              <w:spacing w:line="276" w:lineRule="auto"/>
              <w:jc w:val="center"/>
            </w:pPr>
            <w:r>
              <w:rPr>
                <w:rFonts w:ascii="Bookman Old Style" w:hAnsi="Bookman Old Style" w:cs="Bookman Old Style"/>
                <w:b/>
                <w:sz w:val="18"/>
              </w:rPr>
              <w:t>Digital Instructional Form</w:t>
            </w:r>
          </w:p>
        </w:tc>
        <w:tc>
          <w:tcPr>
            <w:tcW w:w="2475" w:type="dxa"/>
            <w:tcBorders>
              <w:top w:val="single" w:sz="4" w:space="0" w:color="000000"/>
              <w:left w:val="nil"/>
              <w:bottom w:val="single" w:sz="4" w:space="0" w:color="000000"/>
              <w:right w:val="nil"/>
            </w:tcBorders>
          </w:tcPr>
          <w:p w14:paraId="29E490A1" w14:textId="77777777" w:rsidR="00A043BB" w:rsidRDefault="00000000">
            <w:pPr>
              <w:spacing w:line="276" w:lineRule="auto"/>
              <w:jc w:val="center"/>
            </w:pPr>
            <w:r>
              <w:rPr>
                <w:rFonts w:ascii="Bookman Old Style" w:hAnsi="Bookman Old Style" w:cs="Bookman Old Style"/>
                <w:b/>
                <w:sz w:val="18"/>
              </w:rPr>
              <w:t>Student Experience</w:t>
            </w:r>
          </w:p>
        </w:tc>
      </w:tr>
      <w:tr w:rsidR="00A043BB" w14:paraId="7840F8E5" w14:textId="77777777">
        <w:trPr>
          <w:jc w:val="center"/>
        </w:trPr>
        <w:tc>
          <w:tcPr>
            <w:tcW w:w="2475" w:type="dxa"/>
            <w:tcBorders>
              <w:top w:val="nil"/>
              <w:left w:val="nil"/>
              <w:bottom w:val="nil"/>
              <w:right w:val="nil"/>
            </w:tcBorders>
          </w:tcPr>
          <w:p w14:paraId="0424CFD3" w14:textId="77777777" w:rsidR="00A043BB" w:rsidRDefault="00000000">
            <w:pPr>
              <w:spacing w:line="276" w:lineRule="auto"/>
            </w:pPr>
            <w:r>
              <w:rPr>
                <w:rFonts w:ascii="Bookman Old Style" w:hAnsi="Bookman Old Style" w:cs="Bookman Old Style"/>
                <w:sz w:val="18"/>
              </w:rPr>
              <w:t>Autonomy</w:t>
            </w:r>
          </w:p>
        </w:tc>
        <w:tc>
          <w:tcPr>
            <w:tcW w:w="2475" w:type="dxa"/>
            <w:tcBorders>
              <w:top w:val="nil"/>
              <w:left w:val="nil"/>
              <w:bottom w:val="nil"/>
              <w:right w:val="nil"/>
            </w:tcBorders>
          </w:tcPr>
          <w:p w14:paraId="13458EA6" w14:textId="77777777" w:rsidR="00A043BB" w:rsidRDefault="00000000">
            <w:pPr>
              <w:spacing w:line="276" w:lineRule="auto"/>
            </w:pPr>
            <w:r>
              <w:rPr>
                <w:rFonts w:ascii="Bookman Old Style" w:hAnsi="Bookman Old Style" w:cs="Bookman Old Style"/>
                <w:sz w:val="18"/>
              </w:rPr>
              <w:t>Replayable videos, digital notes, mobile vocabulary review</w:t>
            </w:r>
          </w:p>
        </w:tc>
        <w:tc>
          <w:tcPr>
            <w:tcW w:w="2475" w:type="dxa"/>
            <w:tcBorders>
              <w:top w:val="nil"/>
              <w:left w:val="nil"/>
              <w:bottom w:val="nil"/>
              <w:right w:val="nil"/>
            </w:tcBorders>
          </w:tcPr>
          <w:p w14:paraId="6E7E243C" w14:textId="77777777" w:rsidR="00A043BB" w:rsidRDefault="00000000">
            <w:pPr>
              <w:spacing w:line="276" w:lineRule="auto"/>
            </w:pPr>
            <w:r>
              <w:rPr>
                <w:rFonts w:ascii="Bookman Old Style" w:hAnsi="Bookman Old Style" w:cs="Bookman Old Style"/>
                <w:sz w:val="18"/>
              </w:rPr>
              <w:t>Students could study independently and repeat difficult materials</w:t>
            </w:r>
          </w:p>
        </w:tc>
      </w:tr>
      <w:tr w:rsidR="00A043BB" w14:paraId="7D8175EB" w14:textId="77777777">
        <w:trPr>
          <w:jc w:val="center"/>
        </w:trPr>
        <w:tc>
          <w:tcPr>
            <w:tcW w:w="2475" w:type="dxa"/>
            <w:tcBorders>
              <w:top w:val="nil"/>
              <w:left w:val="nil"/>
              <w:bottom w:val="nil"/>
              <w:right w:val="nil"/>
            </w:tcBorders>
          </w:tcPr>
          <w:p w14:paraId="6F9966FE" w14:textId="77777777" w:rsidR="00A043BB" w:rsidRDefault="00000000">
            <w:pPr>
              <w:spacing w:line="276" w:lineRule="auto"/>
            </w:pPr>
            <w:r>
              <w:rPr>
                <w:rFonts w:ascii="Bookman Old Style" w:hAnsi="Bookman Old Style" w:cs="Bookman Old Style"/>
                <w:sz w:val="18"/>
              </w:rPr>
              <w:t>Choice</w:t>
            </w:r>
          </w:p>
        </w:tc>
        <w:tc>
          <w:tcPr>
            <w:tcW w:w="2475" w:type="dxa"/>
            <w:tcBorders>
              <w:top w:val="nil"/>
              <w:left w:val="nil"/>
              <w:bottom w:val="nil"/>
              <w:right w:val="nil"/>
            </w:tcBorders>
          </w:tcPr>
          <w:p w14:paraId="6B111D93" w14:textId="77777777" w:rsidR="00A043BB" w:rsidRDefault="00000000">
            <w:pPr>
              <w:spacing w:line="276" w:lineRule="auto"/>
            </w:pPr>
            <w:r>
              <w:rPr>
                <w:rFonts w:ascii="Bookman Old Style" w:hAnsi="Bookman Old Style" w:cs="Bookman Old Style"/>
                <w:sz w:val="18"/>
              </w:rPr>
              <w:t>Topic selection, digital product options, flexible task formats</w:t>
            </w:r>
          </w:p>
        </w:tc>
        <w:tc>
          <w:tcPr>
            <w:tcW w:w="2475" w:type="dxa"/>
            <w:tcBorders>
              <w:top w:val="nil"/>
              <w:left w:val="nil"/>
              <w:bottom w:val="nil"/>
              <w:right w:val="nil"/>
            </w:tcBorders>
          </w:tcPr>
          <w:p w14:paraId="0AA8819F" w14:textId="77777777" w:rsidR="00A043BB" w:rsidRDefault="00000000">
            <w:pPr>
              <w:spacing w:line="276" w:lineRule="auto"/>
            </w:pPr>
            <w:r>
              <w:rPr>
                <w:rFonts w:ascii="Bookman Old Style" w:hAnsi="Bookman Old Style" w:cs="Bookman Old Style"/>
                <w:sz w:val="18"/>
              </w:rPr>
              <w:t>Students felt more involved in learning decisions</w:t>
            </w:r>
          </w:p>
        </w:tc>
      </w:tr>
      <w:tr w:rsidR="00A043BB" w14:paraId="20B23A95" w14:textId="77777777">
        <w:trPr>
          <w:jc w:val="center"/>
        </w:trPr>
        <w:tc>
          <w:tcPr>
            <w:tcW w:w="2475" w:type="dxa"/>
            <w:tcBorders>
              <w:top w:val="nil"/>
              <w:left w:val="nil"/>
              <w:bottom w:val="nil"/>
              <w:right w:val="nil"/>
            </w:tcBorders>
          </w:tcPr>
          <w:p w14:paraId="6A95AB4F" w14:textId="77777777" w:rsidR="00A043BB" w:rsidRDefault="00000000">
            <w:pPr>
              <w:spacing w:line="276" w:lineRule="auto"/>
            </w:pPr>
            <w:r>
              <w:rPr>
                <w:rFonts w:ascii="Bookman Old Style" w:hAnsi="Bookman Old Style" w:cs="Bookman Old Style"/>
                <w:sz w:val="18"/>
              </w:rPr>
              <w:t>Competence</w:t>
            </w:r>
          </w:p>
        </w:tc>
        <w:tc>
          <w:tcPr>
            <w:tcW w:w="2475" w:type="dxa"/>
            <w:tcBorders>
              <w:top w:val="nil"/>
              <w:left w:val="nil"/>
              <w:bottom w:val="nil"/>
              <w:right w:val="nil"/>
            </w:tcBorders>
          </w:tcPr>
          <w:p w14:paraId="0AD9E7F8" w14:textId="77777777" w:rsidR="00A043BB" w:rsidRDefault="00000000">
            <w:pPr>
              <w:spacing w:line="276" w:lineRule="auto"/>
            </w:pPr>
            <w:r>
              <w:rPr>
                <w:rFonts w:ascii="Bookman Old Style" w:hAnsi="Bookman Old Style" w:cs="Bookman Old Style"/>
                <w:sz w:val="18"/>
              </w:rPr>
              <w:t>Immediate quiz feedback, pronunciation audio, guided practice</w:t>
            </w:r>
          </w:p>
        </w:tc>
        <w:tc>
          <w:tcPr>
            <w:tcW w:w="2475" w:type="dxa"/>
            <w:tcBorders>
              <w:top w:val="nil"/>
              <w:left w:val="nil"/>
              <w:bottom w:val="nil"/>
              <w:right w:val="nil"/>
            </w:tcBorders>
          </w:tcPr>
          <w:p w14:paraId="64A4C8A4" w14:textId="77777777" w:rsidR="00A043BB" w:rsidRDefault="00000000">
            <w:pPr>
              <w:spacing w:line="276" w:lineRule="auto"/>
            </w:pPr>
            <w:r>
              <w:rPr>
                <w:rFonts w:ascii="Bookman Old Style" w:hAnsi="Bookman Old Style" w:cs="Bookman Old Style"/>
                <w:sz w:val="18"/>
              </w:rPr>
              <w:t>Students recognized progress and corrected mistakes</w:t>
            </w:r>
          </w:p>
        </w:tc>
      </w:tr>
      <w:tr w:rsidR="00A043BB" w14:paraId="3AD9FEF2" w14:textId="77777777">
        <w:trPr>
          <w:jc w:val="center"/>
        </w:trPr>
        <w:tc>
          <w:tcPr>
            <w:tcW w:w="2475" w:type="dxa"/>
            <w:tcBorders>
              <w:top w:val="nil"/>
              <w:left w:val="nil"/>
              <w:bottom w:val="nil"/>
              <w:right w:val="nil"/>
            </w:tcBorders>
          </w:tcPr>
          <w:p w14:paraId="707E3B65" w14:textId="77777777" w:rsidR="00A043BB" w:rsidRDefault="00000000">
            <w:pPr>
              <w:spacing w:line="276" w:lineRule="auto"/>
            </w:pPr>
            <w:r>
              <w:rPr>
                <w:rFonts w:ascii="Bookman Old Style" w:hAnsi="Bookman Old Style" w:cs="Bookman Old Style"/>
                <w:sz w:val="18"/>
              </w:rPr>
              <w:t>Relatedness</w:t>
            </w:r>
          </w:p>
        </w:tc>
        <w:tc>
          <w:tcPr>
            <w:tcW w:w="2475" w:type="dxa"/>
            <w:tcBorders>
              <w:top w:val="nil"/>
              <w:left w:val="nil"/>
              <w:bottom w:val="nil"/>
              <w:right w:val="nil"/>
            </w:tcBorders>
          </w:tcPr>
          <w:p w14:paraId="35B986A8" w14:textId="77777777" w:rsidR="00A043BB" w:rsidRDefault="00000000">
            <w:pPr>
              <w:spacing w:line="276" w:lineRule="auto"/>
            </w:pPr>
            <w:r>
              <w:rPr>
                <w:rFonts w:ascii="Bookman Old Style" w:hAnsi="Bookman Old Style" w:cs="Bookman Old Style"/>
                <w:sz w:val="18"/>
              </w:rPr>
              <w:t>Group tasks, online discussion, peer support</w:t>
            </w:r>
          </w:p>
        </w:tc>
        <w:tc>
          <w:tcPr>
            <w:tcW w:w="2475" w:type="dxa"/>
            <w:tcBorders>
              <w:top w:val="nil"/>
              <w:left w:val="nil"/>
              <w:bottom w:val="nil"/>
              <w:right w:val="nil"/>
            </w:tcBorders>
          </w:tcPr>
          <w:p w14:paraId="296FA357" w14:textId="77777777" w:rsidR="00A043BB" w:rsidRDefault="00000000">
            <w:pPr>
              <w:spacing w:line="276" w:lineRule="auto"/>
            </w:pPr>
            <w:r>
              <w:rPr>
                <w:rFonts w:ascii="Bookman Old Style" w:hAnsi="Bookman Old Style" w:cs="Bookman Old Style"/>
                <w:sz w:val="18"/>
              </w:rPr>
              <w:t>Students felt less afraid and more connected</w:t>
            </w:r>
          </w:p>
        </w:tc>
      </w:tr>
      <w:tr w:rsidR="00A043BB" w14:paraId="23B3036C" w14:textId="77777777">
        <w:trPr>
          <w:jc w:val="center"/>
        </w:trPr>
        <w:tc>
          <w:tcPr>
            <w:tcW w:w="2475" w:type="dxa"/>
            <w:tcBorders>
              <w:top w:val="nil"/>
              <w:left w:val="nil"/>
              <w:bottom w:val="single" w:sz="4" w:space="0" w:color="000000"/>
              <w:right w:val="nil"/>
            </w:tcBorders>
          </w:tcPr>
          <w:p w14:paraId="5816688C" w14:textId="77777777" w:rsidR="00A043BB" w:rsidRDefault="00000000">
            <w:pPr>
              <w:spacing w:line="276" w:lineRule="auto"/>
            </w:pPr>
            <w:r>
              <w:rPr>
                <w:rFonts w:ascii="Bookman Old Style" w:hAnsi="Bookman Old Style" w:cs="Bookman Old Style"/>
                <w:sz w:val="18"/>
              </w:rPr>
              <w:t>Confidence</w:t>
            </w:r>
          </w:p>
        </w:tc>
        <w:tc>
          <w:tcPr>
            <w:tcW w:w="2475" w:type="dxa"/>
            <w:tcBorders>
              <w:top w:val="nil"/>
              <w:left w:val="nil"/>
              <w:bottom w:val="single" w:sz="4" w:space="0" w:color="000000"/>
              <w:right w:val="nil"/>
            </w:tcBorders>
          </w:tcPr>
          <w:p w14:paraId="6EB5AC81" w14:textId="77777777" w:rsidR="00A043BB" w:rsidRDefault="00000000">
            <w:pPr>
              <w:spacing w:line="276" w:lineRule="auto"/>
            </w:pPr>
            <w:r>
              <w:rPr>
                <w:rFonts w:ascii="Bookman Old Style" w:hAnsi="Bookman Old Style" w:cs="Bookman Old Style"/>
                <w:sz w:val="18"/>
              </w:rPr>
              <w:t>Voice recording, teacher comments, repeated practice</w:t>
            </w:r>
          </w:p>
        </w:tc>
        <w:tc>
          <w:tcPr>
            <w:tcW w:w="2475" w:type="dxa"/>
            <w:tcBorders>
              <w:top w:val="nil"/>
              <w:left w:val="nil"/>
              <w:bottom w:val="single" w:sz="4" w:space="0" w:color="000000"/>
              <w:right w:val="nil"/>
            </w:tcBorders>
          </w:tcPr>
          <w:p w14:paraId="4AA7D569" w14:textId="77777777" w:rsidR="00A043BB" w:rsidRDefault="00000000">
            <w:pPr>
              <w:spacing w:line="276" w:lineRule="auto"/>
            </w:pPr>
            <w:r>
              <w:rPr>
                <w:rFonts w:ascii="Bookman Old Style" w:hAnsi="Bookman Old Style" w:cs="Bookman Old Style"/>
                <w:sz w:val="18"/>
              </w:rPr>
              <w:t>Students became more willing to use English</w:t>
            </w:r>
          </w:p>
        </w:tc>
      </w:tr>
    </w:tbl>
    <w:p w14:paraId="315D2E96" w14:textId="77777777" w:rsidR="00A043BB" w:rsidRDefault="00000000">
      <w:pPr>
        <w:spacing w:line="276" w:lineRule="auto"/>
      </w:pPr>
      <w:r>
        <w:rPr>
          <w:rFonts w:ascii="Bookman Old Style" w:hAnsi="Bookman Old Style" w:cs="Bookman Old Style"/>
          <w:i/>
          <w:sz w:val="20"/>
        </w:rPr>
        <w:t>Source: Synthesized from student interviews and classroom observations.</w:t>
      </w:r>
    </w:p>
    <w:p w14:paraId="5ED0F02E" w14:textId="77777777" w:rsidR="00A043BB" w:rsidRDefault="00000000">
      <w:pPr>
        <w:keepNext/>
        <w:spacing w:before="200" w:line="276" w:lineRule="auto"/>
      </w:pPr>
      <w:r>
        <w:rPr>
          <w:rFonts w:ascii="Bookman Old Style" w:hAnsi="Bookman Old Style" w:cs="Bookman Old Style"/>
          <w:b/>
          <w:sz w:val="22"/>
        </w:rPr>
        <w:t>Motivational Tensions in Digital-Based English Learning</w:t>
      </w:r>
    </w:p>
    <w:p w14:paraId="109AFDB0" w14:textId="77777777" w:rsidR="00A043BB" w:rsidRDefault="00000000">
      <w:pPr>
        <w:spacing w:line="276" w:lineRule="auto"/>
        <w:ind w:firstLine="720"/>
        <w:jc w:val="both"/>
      </w:pPr>
      <w:r>
        <w:rPr>
          <w:rFonts w:ascii="Bookman Old Style" w:hAnsi="Bookman Old Style" w:cs="Bookman Old Style"/>
          <w:sz w:val="22"/>
        </w:rPr>
        <w:t>The fourth theme indicates digital instruction also created motivational tensions: distraction, unequal access, digital fatigue, and English anxiety, despite generally positive responses.</w:t>
      </w:r>
    </w:p>
    <w:p w14:paraId="25030EC6" w14:textId="77777777" w:rsidR="00A043BB" w:rsidRDefault="00000000">
      <w:pPr>
        <w:spacing w:line="276" w:lineRule="auto"/>
        <w:ind w:firstLine="720"/>
        <w:jc w:val="both"/>
      </w:pPr>
      <w:r>
        <w:rPr>
          <w:rFonts w:ascii="Bookman Old Style" w:hAnsi="Bookman Old Style" w:cs="Bookman Old Style"/>
          <w:sz w:val="22"/>
        </w:rPr>
        <w:t>Distraction was the most common challenge—mobile phones that helped learning could also lead to games and unrelated content, indicating a need for classroom rules and self-regulation strategies.</w:t>
      </w:r>
    </w:p>
    <w:p w14:paraId="015A8080" w14:textId="77777777" w:rsidR="00A043BB" w:rsidRDefault="00000000">
      <w:pPr>
        <w:spacing w:line="276" w:lineRule="auto"/>
        <w:ind w:firstLine="720"/>
        <w:jc w:val="both"/>
      </w:pPr>
      <w:r>
        <w:rPr>
          <w:rFonts w:ascii="Bookman Old Style" w:hAnsi="Bookman Old Style" w:cs="Bookman Old Style"/>
          <w:sz w:val="22"/>
        </w:rPr>
        <w:lastRenderedPageBreak/>
        <w:t>Access was another challenge: unstable internet, limited data, or shared devices affected students' ability to complete assignments on time, creating pressure for students with limited access.</w:t>
      </w:r>
    </w:p>
    <w:p w14:paraId="08005551" w14:textId="77777777" w:rsidR="00A043BB" w:rsidRDefault="00000000">
      <w:pPr>
        <w:spacing w:line="276" w:lineRule="auto"/>
        <w:ind w:firstLine="720"/>
        <w:jc w:val="both"/>
      </w:pPr>
      <w:r>
        <w:rPr>
          <w:rFonts w:ascii="Bookman Old Style" w:hAnsi="Bookman Old Style" w:cs="Bookman Old Style"/>
          <w:sz w:val="22"/>
        </w:rPr>
        <w:t>Digital fatigue also appeared: students enjoyed digital media but tired when too many tasks required screen time, suggesting instruction needs balance rather than being fully digitalized.</w:t>
      </w:r>
    </w:p>
    <w:p w14:paraId="0FD5BB5A" w14:textId="77777777" w:rsidR="00A043BB" w:rsidRDefault="00000000">
      <w:pPr>
        <w:spacing w:line="276" w:lineRule="auto"/>
        <w:ind w:firstLine="720"/>
        <w:jc w:val="both"/>
      </w:pPr>
      <w:r>
        <w:rPr>
          <w:rFonts w:ascii="Bookman Old Style" w:hAnsi="Bookman Old Style" w:cs="Bookman Old Style"/>
          <w:sz w:val="22"/>
        </w:rPr>
        <w:t>English anxiety remained a challenge, as tasks requiring speaking, writing, or visible submissions created pressure, especially around low scores or pronunciation, indicating instruction should keep a safe atmosphere where mistakes are part of learning.</w:t>
      </w:r>
    </w:p>
    <w:p w14:paraId="15813025" w14:textId="77777777" w:rsidR="00A043BB" w:rsidRDefault="00000000">
      <w:pPr>
        <w:keepNext/>
        <w:spacing w:before="100" w:line="276" w:lineRule="auto"/>
      </w:pPr>
      <w:r>
        <w:rPr>
          <w:rFonts w:ascii="Bookman Old Style" w:hAnsi="Bookman Old Style" w:cs="Bookman Old Style"/>
          <w:sz w:val="22"/>
        </w:rPr>
        <w:t>Table 3. Motivational Benefits and Challenges of Digital-Based English Instruction</w:t>
      </w:r>
    </w:p>
    <w:tbl>
      <w:tblPr>
        <w:tblW w:w="0" w:type="auto"/>
        <w:jc w:val="center"/>
        <w:tblCellMar>
          <w:top w:w="20" w:type="dxa"/>
          <w:left w:w="80" w:type="dxa"/>
          <w:bottom w:w="20" w:type="dxa"/>
          <w:right w:w="80" w:type="dxa"/>
        </w:tblCellMar>
        <w:tblLook w:val="04A0" w:firstRow="1" w:lastRow="0" w:firstColumn="1" w:lastColumn="0" w:noHBand="0" w:noVBand="1"/>
      </w:tblPr>
      <w:tblGrid>
        <w:gridCol w:w="2412"/>
        <w:gridCol w:w="2425"/>
        <w:gridCol w:w="2419"/>
      </w:tblGrid>
      <w:tr w:rsidR="00A043BB" w14:paraId="1B1802BD" w14:textId="77777777">
        <w:trPr>
          <w:jc w:val="center"/>
        </w:trPr>
        <w:tc>
          <w:tcPr>
            <w:tcW w:w="2475" w:type="dxa"/>
            <w:tcBorders>
              <w:top w:val="single" w:sz="4" w:space="0" w:color="000000"/>
              <w:left w:val="nil"/>
              <w:bottom w:val="single" w:sz="4" w:space="0" w:color="000000"/>
              <w:right w:val="nil"/>
            </w:tcBorders>
          </w:tcPr>
          <w:p w14:paraId="1820BF5E" w14:textId="77777777" w:rsidR="00A043BB" w:rsidRDefault="00000000">
            <w:pPr>
              <w:spacing w:line="276" w:lineRule="auto"/>
              <w:jc w:val="center"/>
            </w:pPr>
            <w:r>
              <w:rPr>
                <w:rFonts w:ascii="Bookman Old Style" w:hAnsi="Bookman Old Style" w:cs="Bookman Old Style"/>
                <w:b/>
                <w:sz w:val="18"/>
              </w:rPr>
              <w:t>Aspect</w:t>
            </w:r>
          </w:p>
        </w:tc>
        <w:tc>
          <w:tcPr>
            <w:tcW w:w="2475" w:type="dxa"/>
            <w:tcBorders>
              <w:top w:val="single" w:sz="4" w:space="0" w:color="000000"/>
              <w:left w:val="nil"/>
              <w:bottom w:val="single" w:sz="4" w:space="0" w:color="000000"/>
              <w:right w:val="nil"/>
            </w:tcBorders>
          </w:tcPr>
          <w:p w14:paraId="3B5A32A8" w14:textId="77777777" w:rsidR="00A043BB" w:rsidRDefault="00000000">
            <w:pPr>
              <w:spacing w:line="276" w:lineRule="auto"/>
              <w:jc w:val="center"/>
            </w:pPr>
            <w:r>
              <w:rPr>
                <w:rFonts w:ascii="Bookman Old Style" w:hAnsi="Bookman Old Style" w:cs="Bookman Old Style"/>
                <w:b/>
                <w:sz w:val="18"/>
              </w:rPr>
              <w:t>Benefits</w:t>
            </w:r>
          </w:p>
        </w:tc>
        <w:tc>
          <w:tcPr>
            <w:tcW w:w="2475" w:type="dxa"/>
            <w:tcBorders>
              <w:top w:val="single" w:sz="4" w:space="0" w:color="000000"/>
              <w:left w:val="nil"/>
              <w:bottom w:val="single" w:sz="4" w:space="0" w:color="000000"/>
              <w:right w:val="nil"/>
            </w:tcBorders>
          </w:tcPr>
          <w:p w14:paraId="0E562D64" w14:textId="77777777" w:rsidR="00A043BB" w:rsidRDefault="00000000">
            <w:pPr>
              <w:spacing w:line="276" w:lineRule="auto"/>
              <w:jc w:val="center"/>
            </w:pPr>
            <w:r>
              <w:rPr>
                <w:rFonts w:ascii="Bookman Old Style" w:hAnsi="Bookman Old Style" w:cs="Bookman Old Style"/>
                <w:b/>
                <w:sz w:val="18"/>
              </w:rPr>
              <w:t>Challenges</w:t>
            </w:r>
          </w:p>
        </w:tc>
      </w:tr>
      <w:tr w:rsidR="00A043BB" w14:paraId="225A52FE" w14:textId="77777777">
        <w:trPr>
          <w:jc w:val="center"/>
        </w:trPr>
        <w:tc>
          <w:tcPr>
            <w:tcW w:w="2475" w:type="dxa"/>
            <w:tcBorders>
              <w:top w:val="nil"/>
              <w:left w:val="nil"/>
              <w:bottom w:val="nil"/>
              <w:right w:val="nil"/>
            </w:tcBorders>
          </w:tcPr>
          <w:p w14:paraId="032DC2FD" w14:textId="77777777" w:rsidR="00A043BB" w:rsidRDefault="00000000">
            <w:pPr>
              <w:spacing w:line="276" w:lineRule="auto"/>
            </w:pPr>
            <w:r>
              <w:rPr>
                <w:rFonts w:ascii="Bookman Old Style" w:hAnsi="Bookman Old Style" w:cs="Bookman Old Style"/>
                <w:sz w:val="18"/>
              </w:rPr>
              <w:t>Attention</w:t>
            </w:r>
          </w:p>
        </w:tc>
        <w:tc>
          <w:tcPr>
            <w:tcW w:w="2475" w:type="dxa"/>
            <w:tcBorders>
              <w:top w:val="nil"/>
              <w:left w:val="nil"/>
              <w:bottom w:val="nil"/>
              <w:right w:val="nil"/>
            </w:tcBorders>
          </w:tcPr>
          <w:p w14:paraId="0D9E0B7A" w14:textId="77777777" w:rsidR="00A043BB" w:rsidRDefault="00000000">
            <w:pPr>
              <w:spacing w:line="276" w:lineRule="auto"/>
            </w:pPr>
            <w:r>
              <w:rPr>
                <w:rFonts w:ascii="Bookman Old Style" w:hAnsi="Bookman Old Style" w:cs="Bookman Old Style"/>
                <w:sz w:val="18"/>
              </w:rPr>
              <w:t>Videos, images, and quizzes attracted students' interest</w:t>
            </w:r>
          </w:p>
        </w:tc>
        <w:tc>
          <w:tcPr>
            <w:tcW w:w="2475" w:type="dxa"/>
            <w:tcBorders>
              <w:top w:val="nil"/>
              <w:left w:val="nil"/>
              <w:bottom w:val="nil"/>
              <w:right w:val="nil"/>
            </w:tcBorders>
          </w:tcPr>
          <w:p w14:paraId="032AF735" w14:textId="77777777" w:rsidR="00A043BB" w:rsidRDefault="00000000">
            <w:pPr>
              <w:spacing w:line="276" w:lineRule="auto"/>
            </w:pPr>
            <w:r>
              <w:rPr>
                <w:rFonts w:ascii="Bookman Old Style" w:hAnsi="Bookman Old Style" w:cs="Bookman Old Style"/>
                <w:sz w:val="18"/>
              </w:rPr>
              <w:t>Students could be distracted by non-learning applications</w:t>
            </w:r>
          </w:p>
        </w:tc>
      </w:tr>
      <w:tr w:rsidR="00A043BB" w14:paraId="3D22AB12" w14:textId="77777777">
        <w:trPr>
          <w:jc w:val="center"/>
        </w:trPr>
        <w:tc>
          <w:tcPr>
            <w:tcW w:w="2475" w:type="dxa"/>
            <w:tcBorders>
              <w:top w:val="nil"/>
              <w:left w:val="nil"/>
              <w:bottom w:val="nil"/>
              <w:right w:val="nil"/>
            </w:tcBorders>
          </w:tcPr>
          <w:p w14:paraId="7E2EB097" w14:textId="77777777" w:rsidR="00A043BB" w:rsidRDefault="00000000">
            <w:pPr>
              <w:spacing w:line="276" w:lineRule="auto"/>
            </w:pPr>
            <w:r>
              <w:rPr>
                <w:rFonts w:ascii="Bookman Old Style" w:hAnsi="Bookman Old Style" w:cs="Bookman Old Style"/>
                <w:sz w:val="18"/>
              </w:rPr>
              <w:t>Autonomy</w:t>
            </w:r>
          </w:p>
        </w:tc>
        <w:tc>
          <w:tcPr>
            <w:tcW w:w="2475" w:type="dxa"/>
            <w:tcBorders>
              <w:top w:val="nil"/>
              <w:left w:val="nil"/>
              <w:bottom w:val="nil"/>
              <w:right w:val="nil"/>
            </w:tcBorders>
          </w:tcPr>
          <w:p w14:paraId="60398B49" w14:textId="77777777" w:rsidR="00A043BB" w:rsidRDefault="00000000">
            <w:pPr>
              <w:spacing w:line="276" w:lineRule="auto"/>
            </w:pPr>
            <w:r>
              <w:rPr>
                <w:rFonts w:ascii="Bookman Old Style" w:hAnsi="Bookman Old Style" w:cs="Bookman Old Style"/>
                <w:sz w:val="18"/>
              </w:rPr>
              <w:t>Materials could be accessed and repeated independently</w:t>
            </w:r>
          </w:p>
        </w:tc>
        <w:tc>
          <w:tcPr>
            <w:tcW w:w="2475" w:type="dxa"/>
            <w:tcBorders>
              <w:top w:val="nil"/>
              <w:left w:val="nil"/>
              <w:bottom w:val="nil"/>
              <w:right w:val="nil"/>
            </w:tcBorders>
          </w:tcPr>
          <w:p w14:paraId="1AA16815" w14:textId="77777777" w:rsidR="00A043BB" w:rsidRDefault="00000000">
            <w:pPr>
              <w:spacing w:line="276" w:lineRule="auto"/>
            </w:pPr>
            <w:r>
              <w:rPr>
                <w:rFonts w:ascii="Bookman Old Style" w:hAnsi="Bookman Old Style" w:cs="Bookman Old Style"/>
                <w:sz w:val="18"/>
              </w:rPr>
              <w:t>Some students lacked self-regulation</w:t>
            </w:r>
          </w:p>
        </w:tc>
      </w:tr>
      <w:tr w:rsidR="00A043BB" w14:paraId="22DB96E5" w14:textId="77777777">
        <w:trPr>
          <w:jc w:val="center"/>
        </w:trPr>
        <w:tc>
          <w:tcPr>
            <w:tcW w:w="2475" w:type="dxa"/>
            <w:tcBorders>
              <w:top w:val="nil"/>
              <w:left w:val="nil"/>
              <w:bottom w:val="nil"/>
              <w:right w:val="nil"/>
            </w:tcBorders>
          </w:tcPr>
          <w:p w14:paraId="7609A947" w14:textId="77777777" w:rsidR="00A043BB" w:rsidRDefault="00000000">
            <w:pPr>
              <w:spacing w:line="276" w:lineRule="auto"/>
            </w:pPr>
            <w:r>
              <w:rPr>
                <w:rFonts w:ascii="Bookman Old Style" w:hAnsi="Bookman Old Style" w:cs="Bookman Old Style"/>
                <w:sz w:val="18"/>
              </w:rPr>
              <w:t>Confidence</w:t>
            </w:r>
          </w:p>
        </w:tc>
        <w:tc>
          <w:tcPr>
            <w:tcW w:w="2475" w:type="dxa"/>
            <w:tcBorders>
              <w:top w:val="nil"/>
              <w:left w:val="nil"/>
              <w:bottom w:val="nil"/>
              <w:right w:val="nil"/>
            </w:tcBorders>
          </w:tcPr>
          <w:p w14:paraId="6BAFFD87" w14:textId="77777777" w:rsidR="00A043BB" w:rsidRDefault="00000000">
            <w:pPr>
              <w:spacing w:line="276" w:lineRule="auto"/>
            </w:pPr>
            <w:r>
              <w:rPr>
                <w:rFonts w:ascii="Bookman Old Style" w:hAnsi="Bookman Old Style" w:cs="Bookman Old Style"/>
                <w:sz w:val="18"/>
              </w:rPr>
              <w:t>Feedback and repeated practice supported competence</w:t>
            </w:r>
          </w:p>
        </w:tc>
        <w:tc>
          <w:tcPr>
            <w:tcW w:w="2475" w:type="dxa"/>
            <w:tcBorders>
              <w:top w:val="nil"/>
              <w:left w:val="nil"/>
              <w:bottom w:val="nil"/>
              <w:right w:val="nil"/>
            </w:tcBorders>
          </w:tcPr>
          <w:p w14:paraId="599E2418" w14:textId="77777777" w:rsidR="00A043BB" w:rsidRDefault="00000000">
            <w:pPr>
              <w:spacing w:line="276" w:lineRule="auto"/>
            </w:pPr>
            <w:r>
              <w:rPr>
                <w:rFonts w:ascii="Bookman Old Style" w:hAnsi="Bookman Old Style" w:cs="Bookman Old Style"/>
                <w:sz w:val="18"/>
              </w:rPr>
              <w:t>Public scores and recordings could increase anxiety</w:t>
            </w:r>
          </w:p>
        </w:tc>
      </w:tr>
      <w:tr w:rsidR="00A043BB" w14:paraId="0F0818E3" w14:textId="77777777">
        <w:trPr>
          <w:jc w:val="center"/>
        </w:trPr>
        <w:tc>
          <w:tcPr>
            <w:tcW w:w="2475" w:type="dxa"/>
            <w:tcBorders>
              <w:top w:val="nil"/>
              <w:left w:val="nil"/>
              <w:bottom w:val="nil"/>
              <w:right w:val="nil"/>
            </w:tcBorders>
          </w:tcPr>
          <w:p w14:paraId="5D38916D" w14:textId="77777777" w:rsidR="00A043BB" w:rsidRDefault="00000000">
            <w:pPr>
              <w:spacing w:line="276" w:lineRule="auto"/>
            </w:pPr>
            <w:r>
              <w:rPr>
                <w:rFonts w:ascii="Bookman Old Style" w:hAnsi="Bookman Old Style" w:cs="Bookman Old Style"/>
                <w:sz w:val="18"/>
              </w:rPr>
              <w:t>Interaction</w:t>
            </w:r>
          </w:p>
        </w:tc>
        <w:tc>
          <w:tcPr>
            <w:tcW w:w="2475" w:type="dxa"/>
            <w:tcBorders>
              <w:top w:val="nil"/>
              <w:left w:val="nil"/>
              <w:bottom w:val="nil"/>
              <w:right w:val="nil"/>
            </w:tcBorders>
          </w:tcPr>
          <w:p w14:paraId="5E2FF250" w14:textId="77777777" w:rsidR="00A043BB" w:rsidRDefault="00000000">
            <w:pPr>
              <w:spacing w:line="276" w:lineRule="auto"/>
            </w:pPr>
            <w:r>
              <w:rPr>
                <w:rFonts w:ascii="Bookman Old Style" w:hAnsi="Bookman Old Style" w:cs="Bookman Old Style"/>
                <w:sz w:val="18"/>
              </w:rPr>
              <w:t>Digital collaboration encouraged peer support</w:t>
            </w:r>
          </w:p>
        </w:tc>
        <w:tc>
          <w:tcPr>
            <w:tcW w:w="2475" w:type="dxa"/>
            <w:tcBorders>
              <w:top w:val="nil"/>
              <w:left w:val="nil"/>
              <w:bottom w:val="nil"/>
              <w:right w:val="nil"/>
            </w:tcBorders>
          </w:tcPr>
          <w:p w14:paraId="706FE098" w14:textId="77777777" w:rsidR="00A043BB" w:rsidRDefault="00000000">
            <w:pPr>
              <w:spacing w:line="276" w:lineRule="auto"/>
            </w:pPr>
            <w:r>
              <w:rPr>
                <w:rFonts w:ascii="Bookman Old Style" w:hAnsi="Bookman Old Style" w:cs="Bookman Old Style"/>
                <w:sz w:val="18"/>
              </w:rPr>
              <w:t>Unequal participation occurred in some groups</w:t>
            </w:r>
          </w:p>
        </w:tc>
      </w:tr>
      <w:tr w:rsidR="00A043BB" w14:paraId="6EC20C7C" w14:textId="77777777">
        <w:trPr>
          <w:jc w:val="center"/>
        </w:trPr>
        <w:tc>
          <w:tcPr>
            <w:tcW w:w="2475" w:type="dxa"/>
            <w:tcBorders>
              <w:top w:val="nil"/>
              <w:left w:val="nil"/>
              <w:bottom w:val="single" w:sz="4" w:space="0" w:color="000000"/>
              <w:right w:val="nil"/>
            </w:tcBorders>
          </w:tcPr>
          <w:p w14:paraId="44AF8512" w14:textId="77777777" w:rsidR="00A043BB" w:rsidRDefault="00000000">
            <w:pPr>
              <w:spacing w:line="276" w:lineRule="auto"/>
            </w:pPr>
            <w:r>
              <w:rPr>
                <w:rFonts w:ascii="Bookman Old Style" w:hAnsi="Bookman Old Style" w:cs="Bookman Old Style"/>
                <w:sz w:val="18"/>
              </w:rPr>
              <w:t>Access</w:t>
            </w:r>
          </w:p>
        </w:tc>
        <w:tc>
          <w:tcPr>
            <w:tcW w:w="2475" w:type="dxa"/>
            <w:tcBorders>
              <w:top w:val="nil"/>
              <w:left w:val="nil"/>
              <w:bottom w:val="single" w:sz="4" w:space="0" w:color="000000"/>
              <w:right w:val="nil"/>
            </w:tcBorders>
          </w:tcPr>
          <w:p w14:paraId="1C90DDC1" w14:textId="77777777" w:rsidR="00A043BB" w:rsidRDefault="00000000">
            <w:pPr>
              <w:spacing w:line="276" w:lineRule="auto"/>
            </w:pPr>
            <w:r>
              <w:rPr>
                <w:rFonts w:ascii="Bookman Old Style" w:hAnsi="Bookman Old Style" w:cs="Bookman Old Style"/>
                <w:sz w:val="18"/>
              </w:rPr>
              <w:t>Mobile learning extended practice beyond class</w:t>
            </w:r>
          </w:p>
        </w:tc>
        <w:tc>
          <w:tcPr>
            <w:tcW w:w="2475" w:type="dxa"/>
            <w:tcBorders>
              <w:top w:val="nil"/>
              <w:left w:val="nil"/>
              <w:bottom w:val="single" w:sz="4" w:space="0" w:color="000000"/>
              <w:right w:val="nil"/>
            </w:tcBorders>
          </w:tcPr>
          <w:p w14:paraId="7C980343" w14:textId="77777777" w:rsidR="00A043BB" w:rsidRDefault="00000000">
            <w:pPr>
              <w:spacing w:line="276" w:lineRule="auto"/>
            </w:pPr>
            <w:r>
              <w:rPr>
                <w:rFonts w:ascii="Bookman Old Style" w:hAnsi="Bookman Old Style" w:cs="Bookman Old Style"/>
                <w:sz w:val="18"/>
              </w:rPr>
              <w:t>Internet, device, and data limitations affected participation</w:t>
            </w:r>
          </w:p>
        </w:tc>
      </w:tr>
    </w:tbl>
    <w:p w14:paraId="516F46CF" w14:textId="77777777" w:rsidR="00A043BB" w:rsidRDefault="00000000">
      <w:pPr>
        <w:spacing w:line="276" w:lineRule="auto"/>
      </w:pPr>
      <w:r>
        <w:rPr>
          <w:rFonts w:ascii="Bookman Old Style" w:hAnsi="Bookman Old Style" w:cs="Bookman Old Style"/>
          <w:i/>
          <w:sz w:val="20"/>
        </w:rPr>
        <w:t>Source: Synthesized from qualitative data.</w:t>
      </w:r>
    </w:p>
    <w:p w14:paraId="34FC5236" w14:textId="77777777" w:rsidR="00A043BB" w:rsidRDefault="00000000">
      <w:pPr>
        <w:keepNext/>
        <w:spacing w:before="200" w:line="276" w:lineRule="auto"/>
      </w:pPr>
      <w:r>
        <w:rPr>
          <w:rFonts w:ascii="Bookman Old Style" w:hAnsi="Bookman Old Style" w:cs="Bookman Old Style"/>
          <w:b/>
          <w:sz w:val="22"/>
        </w:rPr>
        <w:t>2. Discussion</w:t>
      </w:r>
    </w:p>
    <w:p w14:paraId="4EEAA161" w14:textId="77777777" w:rsidR="00A043BB" w:rsidRDefault="00000000">
      <w:pPr>
        <w:spacing w:line="276" w:lineRule="auto"/>
        <w:ind w:firstLine="720"/>
        <w:jc w:val="both"/>
      </w:pPr>
      <w:r>
        <w:rPr>
          <w:rFonts w:ascii="Bookman Old Style" w:hAnsi="Bookman Old Style" w:cs="Bookman Old Style"/>
          <w:sz w:val="22"/>
        </w:rPr>
        <w:t>The findings show motivation was shaped by the interaction of interest, autonomy, competence, relatedness, and contextual challenges—digital tools motivated students not because they were modern, but because they created clearer, more interactive, flexible learning connected to students' digital practices.</w:t>
      </w:r>
    </w:p>
    <w:p w14:paraId="1A3DF62F" w14:textId="77777777" w:rsidR="00A043BB" w:rsidRDefault="00000000">
      <w:pPr>
        <w:spacing w:line="276" w:lineRule="auto"/>
        <w:ind w:firstLine="720"/>
        <w:jc w:val="both"/>
      </w:pPr>
      <w:r>
        <w:rPr>
          <w:rFonts w:ascii="Bookman Old Style" w:hAnsi="Bookman Old Style" w:cs="Bookman Old Style"/>
          <w:sz w:val="22"/>
        </w:rPr>
        <w:lastRenderedPageBreak/>
        <w:t>The first finding—increased situational interest—aligns with studies on multimodal input and interaction (Golonka et al., 2014; Hwang &amp; Fu, 2019); students engaged more when digital materials aided comprehension, suggesting motivation is closely tied to perceived comprehensibility.</w:t>
      </w:r>
    </w:p>
    <w:p w14:paraId="561A2AC9" w14:textId="77777777" w:rsidR="00A043BB" w:rsidRDefault="00000000">
      <w:pPr>
        <w:spacing w:line="276" w:lineRule="auto"/>
        <w:ind w:firstLine="720"/>
        <w:jc w:val="both"/>
      </w:pPr>
      <w:r>
        <w:rPr>
          <w:rFonts w:ascii="Bookman Old Style" w:hAnsi="Bookman Old Style" w:cs="Bookman Old Style"/>
          <w:sz w:val="22"/>
        </w:rPr>
        <w:t>However, situational interest is not deep motivation; long-term motivation requires meaningful engagement, feedback, and perceived progress, so videos and quizzes must be pedagogically connected to language objectives rather than used to merely decorate lessons.</w:t>
      </w:r>
    </w:p>
    <w:p w14:paraId="44E84653" w14:textId="77777777" w:rsidR="00A043BB" w:rsidRDefault="00000000">
      <w:pPr>
        <w:spacing w:line="276" w:lineRule="auto"/>
        <w:ind w:firstLine="720"/>
        <w:jc w:val="both"/>
      </w:pPr>
      <w:r>
        <w:rPr>
          <w:rFonts w:ascii="Bookman Old Style" w:hAnsi="Bookman Old Style" w:cs="Bookman Old Style"/>
          <w:sz w:val="22"/>
        </w:rPr>
        <w:t>The second finding—supported autonomy—aligns with self-determination theory's emphasis on autonomy as central to motivation (Deci &amp; Ryan, 2000; Ryan &amp; Deci, 2020), especially important in EFL contexts where classroom time is limited and digital tools can extend exposure.</w:t>
      </w:r>
    </w:p>
    <w:p w14:paraId="1DDEA7CF" w14:textId="77777777" w:rsidR="00A043BB" w:rsidRDefault="00000000">
      <w:pPr>
        <w:spacing w:line="276" w:lineRule="auto"/>
        <w:ind w:firstLine="720"/>
        <w:jc w:val="both"/>
      </w:pPr>
      <w:r>
        <w:rPr>
          <w:rFonts w:ascii="Bookman Old Style" w:hAnsi="Bookman Old Style" w:cs="Bookman Old Style"/>
          <w:sz w:val="22"/>
        </w:rPr>
        <w:t>This also supports research on self-regulated language learning: Lai and Gu (2011) found students use technology outside class to regulate learning, and Stockwell (2010) showed mobile platforms support vocabulary learning, though autonomy still required teacher scaffolding and structured tasks.</w:t>
      </w:r>
    </w:p>
    <w:p w14:paraId="01D878E2" w14:textId="77777777" w:rsidR="00A043BB" w:rsidRDefault="00000000">
      <w:pPr>
        <w:spacing w:line="276" w:lineRule="auto"/>
        <w:ind w:firstLine="720"/>
        <w:jc w:val="both"/>
      </w:pPr>
      <w:r>
        <w:rPr>
          <w:rFonts w:ascii="Bookman Old Style" w:hAnsi="Bookman Old Style" w:cs="Bookman Old Style"/>
          <w:sz w:val="22"/>
        </w:rPr>
        <w:t>The third finding—confidence and relatedness—supports self-determination theory's competence and relatedness needs: immediate feedback helped students recognize progress while peer interaction reduced fear and increased participation.</w:t>
      </w:r>
    </w:p>
    <w:p w14:paraId="68A230EB" w14:textId="77777777" w:rsidR="00A043BB" w:rsidRDefault="00000000">
      <w:pPr>
        <w:spacing w:line="276" w:lineRule="auto"/>
        <w:ind w:firstLine="720"/>
        <w:jc w:val="both"/>
      </w:pPr>
      <w:r>
        <w:rPr>
          <w:rFonts w:ascii="Bookman Old Style" w:hAnsi="Bookman Old Style" w:cs="Bookman Old Style"/>
          <w:sz w:val="22"/>
        </w:rPr>
        <w:t>This is consistent with digital game-based and online communication research: Reinders and Wattana (2014) found gameplay supports willingness to communicate, and Lee and Drajati (2019) emphasized affective variables in informal digital learning—here, confidence grew when tasks allowed preparation, repetition, and collaboration.</w:t>
      </w:r>
    </w:p>
    <w:p w14:paraId="313B97C4" w14:textId="77777777" w:rsidR="00A043BB" w:rsidRDefault="00000000">
      <w:pPr>
        <w:spacing w:line="276" w:lineRule="auto"/>
        <w:ind w:firstLine="720"/>
        <w:jc w:val="both"/>
      </w:pPr>
      <w:r>
        <w:rPr>
          <w:rFonts w:ascii="Bookman Old Style" w:hAnsi="Bookman Old Style" w:cs="Bookman Old Style"/>
          <w:sz w:val="22"/>
        </w:rPr>
        <w:t>The fourth finding—motivational tensions—shows distraction, access inequality, fatigue, and anxiety limited technology's benefits, cautioning against an overly optimistic view: technology can motivate but also create new barriers to attention, access, and emotional wellbeing.</w:t>
      </w:r>
    </w:p>
    <w:p w14:paraId="563A165D" w14:textId="77777777" w:rsidR="00A043BB" w:rsidRDefault="00000000">
      <w:pPr>
        <w:spacing w:line="276" w:lineRule="auto"/>
        <w:ind w:firstLine="720"/>
        <w:jc w:val="both"/>
      </w:pPr>
      <w:r>
        <w:rPr>
          <w:rFonts w:ascii="Bookman Old Style" w:hAnsi="Bookman Old Style" w:cs="Bookman Old Style"/>
          <w:sz w:val="22"/>
        </w:rPr>
        <w:lastRenderedPageBreak/>
        <w:t>Distraction points to a need for digital self-regulation and classroom routines; access inequality calls for inclusive planning that doesn't assume equal devices or internet; fatigue suggests blended over fully digital instruction; and anxiety means digital tasks must be emotionally safe.</w:t>
      </w:r>
    </w:p>
    <w:p w14:paraId="0D78D7AA" w14:textId="77777777" w:rsidR="00A043BB" w:rsidRDefault="00000000">
      <w:pPr>
        <w:spacing w:line="276" w:lineRule="auto"/>
        <w:ind w:firstLine="720"/>
        <w:jc w:val="both"/>
      </w:pPr>
      <w:r>
        <w:rPr>
          <w:rFonts w:ascii="Bookman Old Style" w:hAnsi="Bookman Old Style" w:cs="Bookman Old Style"/>
          <w:sz w:val="22"/>
        </w:rPr>
        <w:t>Overall, digital-based instruction functions as a motivational mediator: it mediates interest, autonomy, competence, and interaction, but its effect depends on pedagogical design and classroom context. The teacher remains central in selecting tools, structuring tasks, giving feedback, and supporting students emotionally—without which digital tools may become entertainment or distraction rather than meaningful, motivating learning.</w:t>
      </w:r>
    </w:p>
    <w:p w14:paraId="6FF63B1E" w14:textId="77777777" w:rsidR="00A043BB" w:rsidRDefault="00000000">
      <w:pPr>
        <w:spacing w:line="276" w:lineRule="auto"/>
        <w:ind w:firstLine="720"/>
        <w:jc w:val="both"/>
      </w:pPr>
      <w:r>
        <w:rPr>
          <w:rFonts w:ascii="Bookman Old Style" w:hAnsi="Bookman Old Style" w:cs="Bookman Old Style"/>
          <w:sz w:val="22"/>
        </w:rPr>
        <w:t>Pedagogical implications: digital materials should clarify meaning rather than decorate lessons; tasks should require active participation; students should receive controlled autonomy with guidance; digital feedback should pair with teacher encouragement; online and offline activities should be balanced to prevent fatigue; and access limitations should shape task design.</w:t>
      </w:r>
    </w:p>
    <w:p w14:paraId="5446EE1A" w14:textId="77777777" w:rsidR="00A043BB" w:rsidRDefault="00000000">
      <w:pPr>
        <w:pStyle w:val="DaftarParagraf"/>
        <w:keepNext/>
        <w:spacing w:before="200" w:after="0"/>
        <w:ind w:left="0"/>
        <w:jc w:val="both"/>
      </w:pPr>
      <w:r>
        <w:rPr>
          <w:rFonts w:ascii="Bookman Old Style" w:hAnsi="Bookman Old Style" w:cs="Bookman Old Style"/>
          <w:b/>
        </w:rPr>
        <w:t>D. Conclusion</w:t>
      </w:r>
    </w:p>
    <w:p w14:paraId="40292D31" w14:textId="77777777" w:rsidR="00A043BB" w:rsidRDefault="00000000">
      <w:pPr>
        <w:spacing w:line="276" w:lineRule="auto"/>
        <w:ind w:firstLine="720"/>
        <w:jc w:val="both"/>
      </w:pPr>
      <w:r>
        <w:rPr>
          <w:rFonts w:ascii="Bookman Old Style" w:hAnsi="Bookman Old Style" w:cs="Bookman Old Style"/>
          <w:sz w:val="22"/>
        </w:rPr>
        <w:t>This qualitative case study explored students' motivation in learning English through digital-based instruction in Indonesian EFL contexts. Findings show digital instruction increased situational interest, supported autonomy, strengthened confidence through feedback and peer interaction, and created tensions related to distraction, unequal access, fatigue, and anxiety. Motivation grew not merely from using digital tools but from clearer understanding, flexible practice, peer interaction, feedback, and a sense of progress—though benefits depended on teacher mediation, task design, emotional support, and access conditions. The study concludes that digital-based instruction can support motivation when structured, interactive, inclusive, and pedagogically aligned with language objectives. Future studies may examine this across school levels, compare urban and rural contexts, and combine qualitative findings with longitudinal measurement.</w:t>
      </w:r>
    </w:p>
    <w:p w14:paraId="06B7912A" w14:textId="77777777" w:rsidR="00A043BB" w:rsidRDefault="00000000">
      <w:pPr>
        <w:keepNext/>
        <w:spacing w:before="200" w:line="276" w:lineRule="auto"/>
      </w:pPr>
      <w:r>
        <w:rPr>
          <w:rFonts w:ascii="Bookman Old Style" w:hAnsi="Bookman Old Style" w:cs="Bookman Old Style"/>
          <w:b/>
          <w:sz w:val="22"/>
        </w:rPr>
        <w:lastRenderedPageBreak/>
        <w:t>Declaration of AI-Assisted Technologies</w:t>
      </w:r>
    </w:p>
    <w:p w14:paraId="4B489C00" w14:textId="77777777" w:rsidR="00A043BB" w:rsidRDefault="00000000">
      <w:pPr>
        <w:spacing w:line="276" w:lineRule="auto"/>
        <w:ind w:firstLine="720"/>
        <w:jc w:val="both"/>
      </w:pPr>
      <w:r>
        <w:rPr>
          <w:rFonts w:ascii="Bookman Old Style" w:hAnsi="Bookman Old Style" w:cs="Bookman Old Style"/>
          <w:sz w:val="22"/>
        </w:rPr>
        <w:t>In preparing this manuscript, the authors used AI-assisted tools only to improve English language quality, grammar, readability, sentence clarity, and academic expression. The AI tools were not used to generate research data, conduct data analysis, produce findings, or draw conclusions. All conceptual arguments, data interpretation, methodological decisions, and scholarly conclusions remain the full responsibility of the authors. The authors carefully reviewed, edited, and verified all AI-assisted outputs to ensure the accuracy, integrity, and originality of the final manuscript.</w:t>
      </w:r>
    </w:p>
    <w:p w14:paraId="3B957821" w14:textId="77777777" w:rsidR="00A043BB" w:rsidRDefault="00000000">
      <w:pPr>
        <w:pStyle w:val="DaftarParagraf"/>
        <w:keepNext/>
        <w:spacing w:before="200" w:after="0"/>
        <w:ind w:left="0"/>
        <w:jc w:val="both"/>
      </w:pPr>
      <w:r>
        <w:rPr>
          <w:rFonts w:ascii="Bookman Old Style" w:hAnsi="Bookman Old Style" w:cs="Bookman Old Style"/>
          <w:b/>
        </w:rPr>
        <w:t>Bibliography</w:t>
      </w:r>
    </w:p>
    <w:p w14:paraId="702E5271" w14:textId="77777777" w:rsidR="00A043BB" w:rsidRDefault="00000000">
      <w:pPr>
        <w:spacing w:after="240" w:line="276" w:lineRule="auto"/>
        <w:ind w:left="720" w:hanging="720"/>
        <w:jc w:val="both"/>
      </w:pPr>
      <w:r>
        <w:rPr>
          <w:rFonts w:ascii="Bookman Old Style" w:hAnsi="Bookman Old Style" w:cs="Bookman Old Style"/>
          <w:sz w:val="22"/>
        </w:rPr>
        <w:t>Abraham, L. B. (2008). Computer-mediated glosses in second language reading comprehension and vocabulary learning: A meta-analysis. Computer Assisted Language Learning, 21(3), 199-226. doi: 10.1080/09588220802090246</w:t>
      </w:r>
    </w:p>
    <w:p w14:paraId="3C1DABB1" w14:textId="77777777" w:rsidR="00A043BB" w:rsidRDefault="00000000">
      <w:pPr>
        <w:spacing w:after="240" w:line="276" w:lineRule="auto"/>
        <w:ind w:left="720" w:hanging="720"/>
        <w:jc w:val="both"/>
      </w:pPr>
      <w:r>
        <w:rPr>
          <w:rFonts w:ascii="Bookman Old Style" w:hAnsi="Bookman Old Style" w:cs="Bookman Old Style"/>
          <w:sz w:val="22"/>
        </w:rPr>
        <w:t>Blake, R. J. (2016). Technology and the four skills. Language Learning &amp; Technology, 20(2), 129-142.</w:t>
      </w:r>
    </w:p>
    <w:p w14:paraId="59507BB1" w14:textId="77777777" w:rsidR="00A043BB" w:rsidRDefault="00000000">
      <w:pPr>
        <w:spacing w:after="240" w:line="276" w:lineRule="auto"/>
        <w:ind w:left="720" w:hanging="720"/>
        <w:jc w:val="both"/>
      </w:pPr>
      <w:r>
        <w:rPr>
          <w:rFonts w:ascii="Bookman Old Style" w:hAnsi="Bookman Old Style" w:cs="Bookman Old Style"/>
          <w:sz w:val="22"/>
        </w:rPr>
        <w:t>Boo, Z., Dornyei, Z., &amp; Ryan, S. (2015). L2 motivation research 2005-2014: Understanding a publication surge and a changing landscape. System, 55, 145-157. doi: 10.1016/j.system.2015.10.006</w:t>
      </w:r>
    </w:p>
    <w:p w14:paraId="7FA61FB2" w14:textId="77777777" w:rsidR="00A043BB" w:rsidRDefault="00000000">
      <w:pPr>
        <w:spacing w:after="240" w:line="276" w:lineRule="auto"/>
        <w:ind w:left="720" w:hanging="720"/>
        <w:jc w:val="both"/>
      </w:pPr>
      <w:r>
        <w:rPr>
          <w:rFonts w:ascii="Bookman Old Style" w:hAnsi="Bookman Old Style" w:cs="Bookman Old Style"/>
          <w:sz w:val="22"/>
        </w:rPr>
        <w:t>Braun, V., &amp; Clarke, V. (2006). Using thematic analysis in psychology. Qualitative Research in Psychology, 3(2), 77-101. doi: 10.1191/1478088706qp063oa</w:t>
      </w:r>
    </w:p>
    <w:p w14:paraId="231AED2C" w14:textId="77777777" w:rsidR="00A043BB" w:rsidRDefault="00000000">
      <w:pPr>
        <w:spacing w:after="240" w:line="276" w:lineRule="auto"/>
        <w:ind w:left="720" w:hanging="720"/>
        <w:jc w:val="both"/>
      </w:pPr>
      <w:r>
        <w:rPr>
          <w:rFonts w:ascii="Bookman Old Style" w:hAnsi="Bookman Old Style" w:cs="Bookman Old Style"/>
          <w:sz w:val="22"/>
        </w:rPr>
        <w:t>Deci, E. L., &amp; Ryan, R. M. (2000). The what and why of goal pursuits: Human needs and the self-determination of behavior. Psychological Inquiry, 11(4), 227-268. doi: 10.1207/S15327965PLI1104_01</w:t>
      </w:r>
    </w:p>
    <w:p w14:paraId="5B096E0D" w14:textId="77777777" w:rsidR="00A043BB" w:rsidRDefault="00000000">
      <w:pPr>
        <w:spacing w:after="240" w:line="276" w:lineRule="auto"/>
        <w:ind w:left="720" w:hanging="720"/>
        <w:jc w:val="both"/>
      </w:pPr>
      <w:r>
        <w:rPr>
          <w:rFonts w:ascii="Bookman Old Style" w:hAnsi="Bookman Old Style" w:cs="Bookman Old Style"/>
          <w:sz w:val="22"/>
        </w:rPr>
        <w:t>Godwin-Jones, R. (2018). Social media and language learning. Language Learning &amp; Technology, 22(2), 6-19.</w:t>
      </w:r>
    </w:p>
    <w:p w14:paraId="13CFC3FD" w14:textId="77777777" w:rsidR="00A043BB" w:rsidRDefault="00000000">
      <w:pPr>
        <w:spacing w:after="240" w:line="276" w:lineRule="auto"/>
        <w:ind w:left="720" w:hanging="720"/>
        <w:jc w:val="both"/>
      </w:pPr>
      <w:r>
        <w:rPr>
          <w:rFonts w:ascii="Bookman Old Style" w:hAnsi="Bookman Old Style" w:cs="Bookman Old Style"/>
          <w:sz w:val="22"/>
        </w:rPr>
        <w:lastRenderedPageBreak/>
        <w:t>Golonka, E. M., Bowles, A. R., Frank, V. M., Richardson, D. L., &amp; Freynik, S. (2014). Technologies for foreign language learning: A review of technology types and their effectiveness. Computer Assisted Language Learning, 27(1), 70-105. doi: 10.1080/09588221.2012.700315</w:t>
      </w:r>
    </w:p>
    <w:p w14:paraId="249E7D87" w14:textId="77777777" w:rsidR="00A043BB" w:rsidRDefault="00000000">
      <w:pPr>
        <w:spacing w:after="240" w:line="276" w:lineRule="auto"/>
        <w:ind w:left="720" w:hanging="720"/>
        <w:jc w:val="both"/>
      </w:pPr>
      <w:r>
        <w:rPr>
          <w:rFonts w:ascii="Bookman Old Style" w:hAnsi="Bookman Old Style" w:cs="Bookman Old Style"/>
          <w:sz w:val="22"/>
        </w:rPr>
        <w:t>Hockly, N. (2013). Mobile learning. ELT Journal, 67(1), 80-84. doi: 10.1093/elt/ccs064</w:t>
      </w:r>
    </w:p>
    <w:p w14:paraId="6F427BDB" w14:textId="77777777" w:rsidR="00A043BB" w:rsidRDefault="00000000">
      <w:pPr>
        <w:spacing w:after="240" w:line="276" w:lineRule="auto"/>
        <w:ind w:left="720" w:hanging="720"/>
        <w:jc w:val="both"/>
      </w:pPr>
      <w:r>
        <w:rPr>
          <w:rFonts w:ascii="Bookman Old Style" w:hAnsi="Bookman Old Style" w:cs="Bookman Old Style"/>
          <w:sz w:val="22"/>
        </w:rPr>
        <w:t>Hwang, G. J., &amp; Fu, Q. K. (2019). Trends in the research design and application of mobile language learning: A review of 2007-2016 publications in selected SSCI journals. British Journal of Educational Technology, 50(4), 1796-1811. doi: 10.1111/bjet.12715</w:t>
      </w:r>
    </w:p>
    <w:p w14:paraId="64967C43" w14:textId="77777777" w:rsidR="00A043BB" w:rsidRDefault="00000000">
      <w:pPr>
        <w:spacing w:after="240" w:line="276" w:lineRule="auto"/>
        <w:ind w:left="720" w:hanging="720"/>
        <w:jc w:val="both"/>
      </w:pPr>
      <w:r>
        <w:rPr>
          <w:rFonts w:ascii="Bookman Old Style" w:hAnsi="Bookman Old Style" w:cs="Bookman Old Style"/>
          <w:sz w:val="22"/>
        </w:rPr>
        <w:t>Kessler, G. (2018). Technology and the future of language teaching. Foreign Language Annals, 51(1), 205-218. doi: 10.1111/flan.12318</w:t>
      </w:r>
    </w:p>
    <w:p w14:paraId="7C2A1258" w14:textId="77777777" w:rsidR="00A043BB" w:rsidRDefault="00000000">
      <w:pPr>
        <w:spacing w:after="240" w:line="276" w:lineRule="auto"/>
        <w:ind w:left="720" w:hanging="720"/>
        <w:jc w:val="both"/>
      </w:pPr>
      <w:r>
        <w:rPr>
          <w:rFonts w:ascii="Bookman Old Style" w:hAnsi="Bookman Old Style" w:cs="Bookman Old Style"/>
          <w:sz w:val="22"/>
        </w:rPr>
        <w:t>Kukulska-Hulme, A., &amp; Shield, L. (2008). An overview of mobile assisted language learning: From content delivery to supported collaboration and interaction. ReCALL, 20(3), 271-289. doi: 10.1017/S0958344008000335</w:t>
      </w:r>
    </w:p>
    <w:p w14:paraId="750EAB68" w14:textId="77777777" w:rsidR="00A043BB" w:rsidRDefault="00000000">
      <w:pPr>
        <w:spacing w:after="240" w:line="276" w:lineRule="auto"/>
        <w:ind w:left="720" w:hanging="720"/>
        <w:jc w:val="both"/>
      </w:pPr>
      <w:r>
        <w:rPr>
          <w:rFonts w:ascii="Bookman Old Style" w:hAnsi="Bookman Old Style" w:cs="Bookman Old Style"/>
          <w:sz w:val="22"/>
        </w:rPr>
        <w:t>Lai, C., &amp; Gu, M. Y. (2011). Self-regulated out-of-class language learning with technology. Computer Assisted Language Learning, 24(4), 317-335. doi: 10.1080/09588221.2011.568417</w:t>
      </w:r>
    </w:p>
    <w:p w14:paraId="4ED2B522" w14:textId="77777777" w:rsidR="00A043BB" w:rsidRDefault="00000000">
      <w:pPr>
        <w:spacing w:after="240" w:line="276" w:lineRule="auto"/>
        <w:ind w:left="720" w:hanging="720"/>
        <w:jc w:val="both"/>
      </w:pPr>
      <w:r>
        <w:rPr>
          <w:rFonts w:ascii="Bookman Old Style" w:hAnsi="Bookman Old Style" w:cs="Bookman Old Style"/>
          <w:sz w:val="22"/>
        </w:rPr>
        <w:t>Lee, J. S. (2019). Informal digital learning of English and second language vocabulary outcomes: Can quantity conquer quality? British Journal of Educational Technology, 50(2), 767-778. doi: 10.1111/bjet.12599</w:t>
      </w:r>
    </w:p>
    <w:p w14:paraId="047BB90A" w14:textId="77777777" w:rsidR="00A043BB" w:rsidRDefault="00000000">
      <w:pPr>
        <w:spacing w:after="240" w:line="276" w:lineRule="auto"/>
        <w:ind w:left="720" w:hanging="720"/>
        <w:jc w:val="both"/>
      </w:pPr>
      <w:r>
        <w:rPr>
          <w:rFonts w:ascii="Bookman Old Style" w:hAnsi="Bookman Old Style" w:cs="Bookman Old Style"/>
          <w:sz w:val="22"/>
        </w:rPr>
        <w:t xml:space="preserve">Lee, J. S., &amp; Drajati, N. A. (2019). Affective variables and informal digital learning of English: Keys to willingness to communicate in a second language. Australasian Journal of </w:t>
      </w:r>
      <w:r>
        <w:rPr>
          <w:rFonts w:ascii="Bookman Old Style" w:hAnsi="Bookman Old Style" w:cs="Bookman Old Style"/>
          <w:sz w:val="22"/>
        </w:rPr>
        <w:lastRenderedPageBreak/>
        <w:t>Educational Technology, 35(5), 168-182. doi: 10.14742/ajet.5177</w:t>
      </w:r>
    </w:p>
    <w:p w14:paraId="19766663" w14:textId="77777777" w:rsidR="00A043BB" w:rsidRDefault="00000000">
      <w:pPr>
        <w:spacing w:after="240" w:line="276" w:lineRule="auto"/>
        <w:ind w:left="720" w:hanging="720"/>
        <w:jc w:val="both"/>
      </w:pPr>
      <w:r>
        <w:rPr>
          <w:rFonts w:ascii="Bookman Old Style" w:hAnsi="Bookman Old Style" w:cs="Bookman Old Style"/>
          <w:sz w:val="22"/>
        </w:rPr>
        <w:t>Lee, J. S., &amp; Dressman, M. (2018). When IDLE hands make an English workshop: Informal digital learning of English and language proficiency. TESOL Quarterly, 52(2), 435-445. doi: 10.1002/tesq.422</w:t>
      </w:r>
    </w:p>
    <w:p w14:paraId="6E42AED1" w14:textId="77777777" w:rsidR="00A043BB" w:rsidRDefault="00000000">
      <w:pPr>
        <w:spacing w:after="240" w:line="276" w:lineRule="auto"/>
        <w:ind w:left="720" w:hanging="720"/>
        <w:jc w:val="both"/>
      </w:pPr>
      <w:r>
        <w:rPr>
          <w:rFonts w:ascii="Bookman Old Style" w:hAnsi="Bookman Old Style" w:cs="Bookman Old Style"/>
          <w:sz w:val="22"/>
        </w:rPr>
        <w:t>Lee, J. S., &amp; Lee, K. (2019). Informal digital learning of English and English as an international language: The path less traveled. British Journal of Educational Technology, 50(3), 1447-1461. doi: 10.1111/bjet.12652</w:t>
      </w:r>
    </w:p>
    <w:p w14:paraId="0F397360" w14:textId="77777777" w:rsidR="00A043BB" w:rsidRDefault="00000000">
      <w:pPr>
        <w:spacing w:after="240" w:line="276" w:lineRule="auto"/>
        <w:ind w:left="720" w:hanging="720"/>
        <w:jc w:val="both"/>
      </w:pPr>
      <w:r>
        <w:rPr>
          <w:rFonts w:ascii="Bookman Old Style" w:hAnsi="Bookman Old Style" w:cs="Bookman Old Style"/>
          <w:sz w:val="22"/>
        </w:rPr>
        <w:t>Lee, J. S., &amp; Lee, K. (2021). The role of informal digital learning of English and L2 motivational self system in foreign language enjoyment. British Journal of Educational Technology, 52(1), 358-373. doi: 10.1111/bjet.12955</w:t>
      </w:r>
    </w:p>
    <w:p w14:paraId="2A0BEF7C" w14:textId="77777777" w:rsidR="00A043BB" w:rsidRDefault="00000000">
      <w:pPr>
        <w:spacing w:after="240" w:line="276" w:lineRule="auto"/>
        <w:ind w:left="720" w:hanging="720"/>
        <w:jc w:val="both"/>
      </w:pPr>
      <w:r>
        <w:rPr>
          <w:rFonts w:ascii="Bookman Old Style" w:hAnsi="Bookman Old Style" w:cs="Bookman Old Style"/>
          <w:sz w:val="22"/>
        </w:rPr>
        <w:t>Liu, M., Moore, Z., Graham, L., &amp; Lee, S. (2002). A look at the research on computer-based technology use in second language learning: A review of the literature from 1990-2000. Journal of Research on Technology in Education, 34(3), 250-273. doi: 10.1080/15391523.2002.10782348</w:t>
      </w:r>
    </w:p>
    <w:p w14:paraId="26EF3812" w14:textId="77777777" w:rsidR="00A043BB" w:rsidRDefault="00000000">
      <w:pPr>
        <w:spacing w:after="240" w:line="276" w:lineRule="auto"/>
        <w:ind w:left="720" w:hanging="720"/>
        <w:jc w:val="both"/>
      </w:pPr>
      <w:r>
        <w:rPr>
          <w:rFonts w:ascii="Bookman Old Style" w:hAnsi="Bookman Old Style" w:cs="Bookman Old Style"/>
          <w:sz w:val="22"/>
        </w:rPr>
        <w:t>MacIntyre, P. D., Dornyei, Z., Clement, R., &amp; Noels, K. A. (1998). Conceptualizing willingness to communicate in a second language: A situational model of second language confidence and affiliation. The Modern Language Journal, 82(4), 545-562. doi: 10.1111/j.1540-4781.1998.tb05543.x</w:t>
      </w:r>
    </w:p>
    <w:p w14:paraId="4246E414" w14:textId="77777777" w:rsidR="00A043BB" w:rsidRDefault="00000000">
      <w:pPr>
        <w:spacing w:after="240" w:line="276" w:lineRule="auto"/>
        <w:ind w:left="720" w:hanging="720"/>
        <w:jc w:val="both"/>
      </w:pPr>
      <w:r>
        <w:rPr>
          <w:rFonts w:ascii="Bookman Old Style" w:hAnsi="Bookman Old Style" w:cs="Bookman Old Style"/>
          <w:sz w:val="22"/>
        </w:rPr>
        <w:t>Noels, K. A., Pelletier, L. G., Clement, R., &amp; Vallerand, R. J. (2000). Why are you learning a second language? Motivational orientations and self-determination theory. Language Learning, 50(1), 57-85. doi: 10.1111/0023-8333.00111</w:t>
      </w:r>
    </w:p>
    <w:p w14:paraId="34A8AF6E" w14:textId="77777777" w:rsidR="00A043BB" w:rsidRDefault="00000000">
      <w:pPr>
        <w:spacing w:after="240" w:line="276" w:lineRule="auto"/>
        <w:ind w:left="720" w:hanging="720"/>
        <w:jc w:val="both"/>
      </w:pPr>
      <w:r>
        <w:rPr>
          <w:rFonts w:ascii="Bookman Old Style" w:hAnsi="Bookman Old Style" w:cs="Bookman Old Style"/>
          <w:sz w:val="22"/>
        </w:rPr>
        <w:t xml:space="preserve">Nowell, L. S., Norris, J. M., White, D. E., &amp; Moules, N. J. (2017). Thematic analysis: Striving to meet the trustworthiness </w:t>
      </w:r>
      <w:r>
        <w:rPr>
          <w:rFonts w:ascii="Bookman Old Style" w:hAnsi="Bookman Old Style" w:cs="Bookman Old Style"/>
          <w:sz w:val="22"/>
        </w:rPr>
        <w:lastRenderedPageBreak/>
        <w:t>criteria. International Journal of Qualitative Methods, 16(1), 1-13. doi: 10.1177/1609406917733847</w:t>
      </w:r>
    </w:p>
    <w:p w14:paraId="465ED279" w14:textId="77777777" w:rsidR="00A043BB" w:rsidRDefault="00000000">
      <w:pPr>
        <w:spacing w:after="240" w:line="276" w:lineRule="auto"/>
        <w:ind w:left="720" w:hanging="720"/>
        <w:jc w:val="both"/>
      </w:pPr>
      <w:r>
        <w:rPr>
          <w:rFonts w:ascii="Bookman Old Style" w:hAnsi="Bookman Old Style" w:cs="Bookman Old Style"/>
          <w:sz w:val="22"/>
        </w:rPr>
        <w:t>Plonsky, L., &amp; Ziegler, N. (2016). The CALL-SLA interface: Insights from a second-order synthesis. Language Learning &amp; Technology, 20(2), 17-37.</w:t>
      </w:r>
    </w:p>
    <w:p w14:paraId="3EBD38AF" w14:textId="77777777" w:rsidR="00A043BB" w:rsidRDefault="00000000">
      <w:pPr>
        <w:spacing w:after="240" w:line="276" w:lineRule="auto"/>
        <w:ind w:left="720" w:hanging="720"/>
        <w:jc w:val="both"/>
      </w:pPr>
      <w:r>
        <w:rPr>
          <w:rFonts w:ascii="Bookman Old Style" w:hAnsi="Bookman Old Style" w:cs="Bookman Old Style"/>
          <w:sz w:val="22"/>
        </w:rPr>
        <w:t>Reinders, H., &amp; Wattana, S. (2014). Can I say something? The effects of digital gameplay on willingness to communicate. Language Learning &amp; Technology, 18(2), 101-123. doi: 10.64152/10125/44372</w:t>
      </w:r>
    </w:p>
    <w:p w14:paraId="7C346B69" w14:textId="77777777" w:rsidR="00A043BB" w:rsidRDefault="00000000">
      <w:pPr>
        <w:spacing w:after="240" w:line="276" w:lineRule="auto"/>
        <w:ind w:left="720" w:hanging="720"/>
        <w:jc w:val="both"/>
      </w:pPr>
      <w:r>
        <w:rPr>
          <w:rFonts w:ascii="Bookman Old Style" w:hAnsi="Bookman Old Style" w:cs="Bookman Old Style"/>
          <w:sz w:val="22"/>
        </w:rPr>
        <w:t>Reinhardt, J. (2019). Gameful second and foreign language teaching and learning: Theory, research, and practice. Language Teaching, 52(2), 173-187. doi: 10.1017/S0261444818000480</w:t>
      </w:r>
    </w:p>
    <w:p w14:paraId="0209932F" w14:textId="77777777" w:rsidR="00A043BB" w:rsidRDefault="00000000">
      <w:pPr>
        <w:spacing w:after="240" w:line="276" w:lineRule="auto"/>
        <w:ind w:left="720" w:hanging="720"/>
        <w:jc w:val="both"/>
      </w:pPr>
      <w:r>
        <w:rPr>
          <w:rFonts w:ascii="Bookman Old Style" w:hAnsi="Bookman Old Style" w:cs="Bookman Old Style"/>
          <w:sz w:val="22"/>
        </w:rPr>
        <w:t>Ryan, R. M., &amp; Deci, E. L. (2020). Intrinsic and extrinsic motivation from a self-determination theory perspective: Definitions, theory, practices, and future directions. Contemporary Educational Psychology, 61, 101860. doi: 10.1016/j.cedpsych.2020.101860</w:t>
      </w:r>
    </w:p>
    <w:p w14:paraId="4460251A" w14:textId="77777777" w:rsidR="00A043BB" w:rsidRDefault="00000000">
      <w:pPr>
        <w:spacing w:after="240" w:line="276" w:lineRule="auto"/>
        <w:ind w:left="720" w:hanging="720"/>
        <w:jc w:val="both"/>
      </w:pPr>
      <w:r>
        <w:rPr>
          <w:rFonts w:ascii="Bookman Old Style" w:hAnsi="Bookman Old Style" w:cs="Bookman Old Style"/>
          <w:sz w:val="22"/>
        </w:rPr>
        <w:t>Stockwell, G. (2010). Using mobile phones for vocabulary activities: Examining the effect of platform. Language Learning &amp; Technology, 14(2), 95-110. doi: 10.64152/10125/44216</w:t>
      </w:r>
    </w:p>
    <w:p w14:paraId="377C24AC" w14:textId="77777777" w:rsidR="00A043BB" w:rsidRDefault="00000000">
      <w:pPr>
        <w:spacing w:after="240" w:line="276" w:lineRule="auto"/>
        <w:ind w:left="720" w:hanging="720"/>
        <w:jc w:val="both"/>
      </w:pPr>
      <w:r>
        <w:rPr>
          <w:rFonts w:ascii="Bookman Old Style" w:hAnsi="Bookman Old Style" w:cs="Bookman Old Style"/>
          <w:sz w:val="22"/>
        </w:rPr>
        <w:t>Sung, Y. T., Chang, K. E., &amp; Yang, J. M. (2015). How effective are mobile devices for language learning? A meta-analysis. Educational Research Review, 16, 68-84. doi: 10.1016/j.edurev.2015.09.001</w:t>
      </w:r>
    </w:p>
    <w:p w14:paraId="3097BD3E" w14:textId="77777777" w:rsidR="00A043BB" w:rsidRDefault="00000000">
      <w:pPr>
        <w:spacing w:after="240" w:line="276" w:lineRule="auto"/>
        <w:ind w:left="720" w:hanging="720"/>
        <w:jc w:val="both"/>
      </w:pPr>
      <w:r>
        <w:rPr>
          <w:rFonts w:ascii="Bookman Old Style" w:hAnsi="Bookman Old Style" w:cs="Bookman Old Style"/>
          <w:sz w:val="22"/>
        </w:rPr>
        <w:t>Ushioda, E. (2011). Language learning motivation, self and identity: Current theoretical perspectives. Computer Assisted Language Learning, 24(3), 199-210. doi: 10.1080/09588221.2010.538701</w:t>
      </w:r>
    </w:p>
    <w:p w14:paraId="4843B66F" w14:textId="77777777" w:rsidR="00A043BB" w:rsidRDefault="00000000">
      <w:pPr>
        <w:spacing w:after="240" w:line="276" w:lineRule="auto"/>
        <w:ind w:left="720" w:hanging="720"/>
        <w:jc w:val="both"/>
      </w:pPr>
      <w:r>
        <w:rPr>
          <w:rFonts w:ascii="Bookman Old Style" w:hAnsi="Bookman Old Style" w:cs="Bookman Old Style"/>
          <w:sz w:val="22"/>
        </w:rPr>
        <w:lastRenderedPageBreak/>
        <w:t>Ziegler, N. (2016). Synchronous computer-mediated communication and interaction: A meta-analysis. Studies in Second Language Acquisition, 38(3), 553-586. doi: 10.1017/S027226311500025X</w:t>
      </w:r>
    </w:p>
    <w:sectPr w:rsidR="00A043BB" w:rsidSect="00477F8F">
      <w:headerReference w:type="default" r:id="rId9"/>
      <w:footerReference w:type="even" r:id="rId10"/>
      <w:footerReference w:type="default" r:id="rId11"/>
      <w:headerReference w:type="first" r:id="rId12"/>
      <w:footerReference w:type="first" r:id="rId13"/>
      <w:pgSz w:w="10318" w:h="14570"/>
      <w:pgMar w:top="2041" w:right="1418" w:bottom="1588" w:left="1474" w:header="1134" w:footer="1134" w:gutter="170"/>
      <w:pgNumType w:start="353"/>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569A5D3" w14:textId="77777777" w:rsidR="00E87ABD" w:rsidRDefault="00E87ABD">
      <w:r>
        <w:separator/>
      </w:r>
    </w:p>
  </w:endnote>
  <w:endnote w:type="continuationSeparator" w:id="0">
    <w:p w14:paraId="53165C2E" w14:textId="77777777" w:rsidR="00E87ABD" w:rsidRDefault="00E87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Liberation Serif">
    <w:altName w:val="Times New Roman"/>
    <w:panose1 w:val="020B0604020202020204"/>
    <w:charset w:val="01"/>
    <w:family w:val="roman"/>
    <w:pitch w:val="variable"/>
  </w:font>
  <w:font w:name="Noto Serif CJK SC">
    <w:panose1 w:val="020B0604020202020204"/>
    <w:charset w:val="00"/>
    <w:family w:val="roman"/>
    <w:pitch w:val="default"/>
  </w:font>
  <w:font w:name="DejaVu Sans">
    <w:panose1 w:val="020B0604020202020204"/>
    <w:charset w:val="00"/>
    <w:family w:val="roman"/>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Liberation Sans">
    <w:altName w:val="Arial"/>
    <w:panose1 w:val="020B0604020202020204"/>
    <w:charset w:val="01"/>
    <w:family w:val="swiss"/>
    <w:pitch w:val="variable"/>
  </w:font>
  <w:font w:name="Noto Sans CJK SC">
    <w:panose1 w:val="020B0604020202020204"/>
    <w:charset w:val="00"/>
    <w:family w:val="roman"/>
    <w:pitch w:val="default"/>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C9094F" w14:textId="77777777" w:rsidR="00A043BB" w:rsidRDefault="00000000">
    <w:pPr>
      <w:jc w:val="center"/>
    </w:pPr>
    <w:r>
      <w:rPr>
        <w:rFonts w:ascii="Bookman Old Style" w:hAnsi="Bookman Old Style" w:cs="Bookman Old Style"/>
        <w:sz w:val="20"/>
      </w:rPr>
      <w:fldChar w:fldCharType="begin"/>
    </w:r>
    <w:r>
      <w:rPr>
        <w:rFonts w:ascii="Bookman Old Style" w:hAnsi="Bookman Old Style" w:cs="Bookman Old Style"/>
        <w:sz w:val="20"/>
      </w:rPr>
      <w:instrText xml:space="preserve"> PAGE </w:instrText>
    </w:r>
    <w:r>
      <w:rPr>
        <w:rFonts w:ascii="Bookman Old Style" w:hAnsi="Bookman Old Style" w:cs="Bookman Old Style"/>
        <w:sz w:val="20"/>
      </w:rPr>
      <w:fldChar w:fldCharType="separate"/>
    </w:r>
    <w:r>
      <w:rPr>
        <w:rFonts w:ascii="Bookman Old Style" w:hAnsi="Bookman Old Style" w:cs="Bookman Old Style"/>
        <w:sz w:val="20"/>
      </w:rPr>
      <w:t>352</w:t>
    </w:r>
    <w:r>
      <w:rPr>
        <w:rFonts w:ascii="Bookman Old Style" w:hAnsi="Bookman Old Style" w:cs="Bookman Old Style"/>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74E650" w14:textId="77777777" w:rsidR="00A043BB" w:rsidRDefault="00000000">
    <w:pPr>
      <w:jc w:val="center"/>
    </w:pPr>
    <w:r>
      <w:rPr>
        <w:rFonts w:ascii="Bookman Old Style" w:hAnsi="Bookman Old Style" w:cs="Bookman Old Style"/>
        <w:sz w:val="20"/>
      </w:rPr>
      <w:fldChar w:fldCharType="begin"/>
    </w:r>
    <w:r>
      <w:rPr>
        <w:rFonts w:ascii="Bookman Old Style" w:hAnsi="Bookman Old Style" w:cs="Bookman Old Style"/>
        <w:sz w:val="20"/>
      </w:rPr>
      <w:instrText xml:space="preserve"> PAGE </w:instrText>
    </w:r>
    <w:r>
      <w:rPr>
        <w:rFonts w:ascii="Bookman Old Style" w:hAnsi="Bookman Old Style" w:cs="Bookman Old Style"/>
        <w:sz w:val="20"/>
      </w:rPr>
      <w:fldChar w:fldCharType="separate"/>
    </w:r>
    <w:r>
      <w:rPr>
        <w:rFonts w:ascii="Bookman Old Style" w:hAnsi="Bookman Old Style" w:cs="Bookman Old Style"/>
        <w:sz w:val="20"/>
      </w:rPr>
      <w:t>351</w:t>
    </w:r>
    <w:r>
      <w:rPr>
        <w:rFonts w:ascii="Bookman Old Style" w:hAnsi="Bookman Old Style" w:cs="Bookman Old Style"/>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78A096" w14:textId="77777777" w:rsidR="00A043BB" w:rsidRDefault="00000000">
    <w:pPr>
      <w:jc w:val="center"/>
    </w:pPr>
    <w:r>
      <w:rPr>
        <w:rFonts w:ascii="Bookman Old Style" w:hAnsi="Bookman Old Style" w:cs="Bookman Old Style"/>
        <w:sz w:val="20"/>
      </w:rPr>
      <w:fldChar w:fldCharType="begin"/>
    </w:r>
    <w:r>
      <w:rPr>
        <w:rFonts w:ascii="Bookman Old Style" w:hAnsi="Bookman Old Style" w:cs="Bookman Old Style"/>
        <w:sz w:val="20"/>
      </w:rPr>
      <w:instrText xml:space="preserve"> PAGE </w:instrText>
    </w:r>
    <w:r>
      <w:rPr>
        <w:rFonts w:ascii="Bookman Old Style" w:hAnsi="Bookman Old Style" w:cs="Bookman Old Style"/>
        <w:sz w:val="20"/>
      </w:rPr>
      <w:fldChar w:fldCharType="separate"/>
    </w:r>
    <w:r>
      <w:rPr>
        <w:rFonts w:ascii="Bookman Old Style" w:hAnsi="Bookman Old Style" w:cs="Bookman Old Style"/>
        <w:sz w:val="20"/>
      </w:rPr>
      <w:t>351</w:t>
    </w:r>
    <w:r>
      <w:rPr>
        <w:rFonts w:ascii="Bookman Old Style" w:hAnsi="Bookman Old Style" w:cs="Bookman Old Style"/>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9D084DD" w14:textId="77777777" w:rsidR="00E87ABD" w:rsidRDefault="00E87ABD">
      <w:r>
        <w:separator/>
      </w:r>
    </w:p>
  </w:footnote>
  <w:footnote w:type="continuationSeparator" w:id="0">
    <w:p w14:paraId="67A4F6AB" w14:textId="77777777" w:rsidR="00E87ABD" w:rsidRDefault="00E87A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5633BC" w14:textId="77777777" w:rsidR="00A043BB" w:rsidRDefault="00000000">
    <w:pPr>
      <w:pStyle w:val="Header"/>
      <w:tabs>
        <w:tab w:val="clear" w:pos="4320"/>
        <w:tab w:val="clear" w:pos="8640"/>
      </w:tabs>
      <w:spacing w:before="120" w:after="60"/>
      <w:ind w:right="51"/>
      <w:jc w:val="center"/>
      <w:rPr>
        <w:rFonts w:ascii="Book Antiqua" w:hAnsi="Book Antiqua" w:cs="Book Antiqua"/>
        <w:i/>
        <w:iCs/>
        <w:sz w:val="18"/>
        <w:szCs w:val="18"/>
      </w:rPr>
    </w:pPr>
    <w:r>
      <w:rPr>
        <w:rFonts w:ascii="Book Antiqua" w:hAnsi="Book Antiqua" w:cs="Book Antiqua"/>
        <w:i/>
        <w:iCs/>
        <w:sz w:val="18"/>
        <w:szCs w:val="18"/>
        <w:lang w:val="en-US"/>
      </w:rPr>
      <w:t xml:space="preserve"> </w:t>
    </w:r>
  </w:p>
  <w:p w14:paraId="440B8B1D" w14:textId="77777777" w:rsidR="00A043BB" w:rsidRDefault="00A043BB">
    <w:pPr>
      <w:pStyle w:val="Header"/>
      <w:tabs>
        <w:tab w:val="clear" w:pos="4320"/>
      </w:tabs>
      <w:ind w:right="51"/>
      <w:jc w:val="center"/>
      <w:rPr>
        <w:rFonts w:ascii="Book Antiqua" w:hAnsi="Book Antiqua" w:cs="Book Antiqua"/>
        <w:i/>
        <w:iCs/>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9EFC7E" w14:textId="77777777" w:rsidR="00A043BB" w:rsidRDefault="00000000">
    <w:pPr>
      <w:pStyle w:val="Header"/>
      <w:rPr>
        <w:lang w:val="en-US" w:eastAsia="en-US"/>
      </w:rPr>
    </w:pPr>
    <w:r>
      <w:rPr>
        <w:noProof/>
        <w:lang w:val="en-US" w:eastAsia="en-US"/>
      </w:rPr>
      <w:drawing>
        <wp:anchor distT="0" distB="0" distL="114935" distR="114935" simplePos="0" relativeHeight="20" behindDoc="1" locked="0" layoutInCell="1" allowOverlap="1" wp14:anchorId="4D3034FA" wp14:editId="4D6D2D3E">
          <wp:simplePos x="0" y="0"/>
          <wp:positionH relativeFrom="column">
            <wp:posOffset>-968375</wp:posOffset>
          </wp:positionH>
          <wp:positionV relativeFrom="paragraph">
            <wp:posOffset>-635635</wp:posOffset>
          </wp:positionV>
          <wp:extent cx="6383655" cy="964565"/>
          <wp:effectExtent l="0" t="0" r="0" b="0"/>
          <wp:wrapNone/>
          <wp:docPr id="5"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
                  <pic:cNvPicPr>
                    <a:picLocks noChangeAspect="1" noChangeArrowheads="1"/>
                  </pic:cNvPicPr>
                </pic:nvPicPr>
                <pic:blipFill>
                  <a:blip r:embed="rId1"/>
                  <a:srcRect l="-3" t="-13" r="-3" b="29063"/>
                  <a:stretch>
                    <a:fillRect/>
                  </a:stretch>
                </pic:blipFill>
                <pic:spPr bwMode="auto">
                  <a:xfrm>
                    <a:off x="0" y="0"/>
                    <a:ext cx="6383655" cy="964565"/>
                  </a:xfrm>
                  <a:prstGeom prst="rect">
                    <a:avLst/>
                  </a:prstGeom>
                  <a:noFill/>
                </pic:spPr>
              </pic:pic>
            </a:graphicData>
          </a:graphic>
        </wp:anchor>
      </w:drawing>
    </w:r>
  </w:p>
  <w:p w14:paraId="4149515A" w14:textId="77777777" w:rsidR="00A043BB" w:rsidRDefault="00A043BB">
    <w:pPr>
      <w:pStyle w:val="Header"/>
    </w:pPr>
  </w:p>
  <w:tbl>
    <w:tblPr>
      <w:tblW w:w="9214" w:type="dxa"/>
      <w:tblInd w:w="-1026" w:type="dxa"/>
      <w:tblLayout w:type="fixed"/>
      <w:tblLook w:val="0000" w:firstRow="0" w:lastRow="0" w:firstColumn="0" w:lastColumn="0" w:noHBand="0" w:noVBand="0"/>
    </w:tblPr>
    <w:tblGrid>
      <w:gridCol w:w="2552"/>
      <w:gridCol w:w="3456"/>
      <w:gridCol w:w="3206"/>
    </w:tblGrid>
    <w:tr w:rsidR="00A043BB" w14:paraId="44119F0C" w14:textId="77777777">
      <w:tc>
        <w:tcPr>
          <w:tcW w:w="2552" w:type="dxa"/>
        </w:tcPr>
        <w:p w14:paraId="34C2D2F8" w14:textId="77777777" w:rsidR="00A043BB" w:rsidRDefault="00000000">
          <w:pPr>
            <w:pStyle w:val="Header"/>
            <w:rPr>
              <w:rFonts w:ascii="Bookman Old Style" w:hAnsi="Bookman Old Style" w:cs="Bookman Old Style"/>
              <w:sz w:val="16"/>
              <w:szCs w:val="16"/>
            </w:rPr>
          </w:pPr>
          <w:r>
            <w:rPr>
              <w:rFonts w:ascii="Bookman Old Style" w:hAnsi="Bookman Old Style" w:cs="Bookman Old Style"/>
              <w:sz w:val="16"/>
              <w:szCs w:val="16"/>
            </w:rPr>
            <w:t>Vol. 3. No. 3, Agustus 2023</w:t>
          </w:r>
        </w:p>
      </w:tc>
      <w:tc>
        <w:tcPr>
          <w:tcW w:w="3456" w:type="dxa"/>
        </w:tcPr>
        <w:p w14:paraId="312455CD" w14:textId="77777777" w:rsidR="00A043BB" w:rsidRDefault="00A043BB">
          <w:pPr>
            <w:pStyle w:val="Header"/>
            <w:snapToGrid w:val="0"/>
            <w:rPr>
              <w:rFonts w:ascii="Bookman Old Style" w:hAnsi="Bookman Old Style" w:cs="Bookman Old Style"/>
              <w:sz w:val="16"/>
              <w:szCs w:val="16"/>
            </w:rPr>
          </w:pPr>
        </w:p>
      </w:tc>
      <w:tc>
        <w:tcPr>
          <w:tcW w:w="3206" w:type="dxa"/>
        </w:tcPr>
        <w:p w14:paraId="59FC6DEA" w14:textId="77777777" w:rsidR="00A043BB" w:rsidRDefault="00000000">
          <w:pPr>
            <w:pStyle w:val="Header"/>
            <w:rPr>
              <w:rFonts w:ascii="Bookman Old Style" w:hAnsi="Bookman Old Style" w:cs="Bookman Old Style"/>
              <w:sz w:val="16"/>
              <w:szCs w:val="16"/>
            </w:rPr>
          </w:pPr>
          <w:r>
            <w:rPr>
              <w:rFonts w:ascii="Bookman Old Style" w:hAnsi="Bookman Old Style" w:cs="Bookman Old Style"/>
              <w:sz w:val="16"/>
              <w:szCs w:val="16"/>
            </w:rPr>
            <w:t>E ISSN: 2</w:t>
          </w:r>
          <w:r>
            <w:rPr>
              <w:rFonts w:ascii="Bookman Old Style" w:hAnsi="Bookman Old Style" w:cs="Bookman Old Style"/>
              <w:sz w:val="16"/>
              <w:szCs w:val="16"/>
              <w:shd w:val="clear" w:color="auto" w:fill="FFFFFF"/>
            </w:rPr>
            <w:t>775-3484</w:t>
          </w:r>
        </w:p>
      </w:tc>
    </w:tr>
    <w:tr w:rsidR="00A043BB" w14:paraId="645EA4CD" w14:textId="77777777">
      <w:tc>
        <w:tcPr>
          <w:tcW w:w="2552" w:type="dxa"/>
        </w:tcPr>
        <w:p w14:paraId="730F5E8E" w14:textId="4CFEF1DE" w:rsidR="00A043BB" w:rsidRDefault="00000000">
          <w:pPr>
            <w:pStyle w:val="Header"/>
            <w:rPr>
              <w:rFonts w:ascii="Bookman Old Style" w:hAnsi="Bookman Old Style" w:cs="Bookman Old Style"/>
              <w:sz w:val="16"/>
              <w:szCs w:val="16"/>
            </w:rPr>
          </w:pPr>
          <w:r>
            <w:rPr>
              <w:rFonts w:ascii="Bookman Old Style" w:hAnsi="Bookman Old Style" w:cs="Bookman Old Style"/>
              <w:sz w:val="16"/>
              <w:szCs w:val="16"/>
            </w:rPr>
            <w:t>DOI: 10.53768/sijel.v3i3</w:t>
          </w:r>
          <w:r>
            <w:rPr>
              <w:rFonts w:ascii="Bookman Old Style" w:hAnsi="Bookman Old Style" w:cs="Bookman Old Style"/>
              <w:color w:val="000000"/>
              <w:sz w:val="16"/>
              <w:szCs w:val="16"/>
            </w:rPr>
            <w:t>.</w:t>
          </w:r>
          <w:r w:rsidR="00477F8F">
            <w:rPr>
              <w:rFonts w:ascii="Bookman Old Style" w:hAnsi="Bookman Old Style" w:cs="Bookman Old Style"/>
              <w:color w:val="000000"/>
              <w:sz w:val="16"/>
              <w:szCs w:val="16"/>
            </w:rPr>
            <w:t>202</w:t>
          </w:r>
        </w:p>
      </w:tc>
      <w:tc>
        <w:tcPr>
          <w:tcW w:w="3456" w:type="dxa"/>
        </w:tcPr>
        <w:p w14:paraId="2FAB6D91" w14:textId="77777777" w:rsidR="00A043BB" w:rsidRDefault="00A043BB">
          <w:pPr>
            <w:pStyle w:val="Header"/>
            <w:snapToGrid w:val="0"/>
            <w:rPr>
              <w:rFonts w:ascii="Bookman Old Style" w:hAnsi="Bookman Old Style" w:cs="Bookman Old Style"/>
              <w:sz w:val="16"/>
              <w:szCs w:val="16"/>
            </w:rPr>
          </w:pPr>
        </w:p>
      </w:tc>
      <w:tc>
        <w:tcPr>
          <w:tcW w:w="3206" w:type="dxa"/>
        </w:tcPr>
        <w:p w14:paraId="5E971071" w14:textId="77777777" w:rsidR="00A043BB" w:rsidRDefault="00A043BB">
          <w:pPr>
            <w:pStyle w:val="Header"/>
            <w:snapToGrid w:val="0"/>
            <w:rPr>
              <w:rFonts w:ascii="Bookman Old Style" w:hAnsi="Bookman Old Style" w:cs="Bookman Old Style"/>
              <w:sz w:val="16"/>
              <w:szCs w:val="16"/>
            </w:rPr>
          </w:pPr>
        </w:p>
      </w:tc>
    </w:tr>
  </w:tbl>
  <w:p w14:paraId="1DE53FF1" w14:textId="77777777" w:rsidR="00A043BB" w:rsidRDefault="00000000">
    <w:pPr>
      <w:pStyle w:val="Header"/>
      <w:rPr>
        <w:rFonts w:ascii="Bookman Old Style" w:hAnsi="Bookman Old Style" w:cs="Bookman Old Style"/>
        <w:sz w:val="16"/>
        <w:szCs w:val="16"/>
      </w:rPr>
    </w:pPr>
    <w:r>
      <w:rPr>
        <w:rFonts w:ascii="Bookman Old Style" w:hAnsi="Bookman Old Style" w:cs="Bookman Old Style"/>
        <w:sz w:val="16"/>
        <w:szCs w:val="16"/>
      </w:rPr>
      <w:tab/>
    </w:r>
    <w:r>
      <w:rPr>
        <w:rFonts w:ascii="Bookman Old Style" w:hAnsi="Bookman Old Style" w:cs="Bookman Old Style"/>
        <w:sz w:val="16"/>
        <w:szCs w:val="16"/>
      </w:rPr>
      <w:tab/>
    </w:r>
    <w:r>
      <w:rPr>
        <w:rFonts w:ascii="Bookman Old Style" w:hAnsi="Bookman Old Style" w:cs="Bookman Old Style"/>
        <w:sz w:val="16"/>
        <w:szCs w:val="16"/>
      </w:rPr>
      <w:tab/>
    </w:r>
    <w:r>
      <w:rPr>
        <w:rFonts w:ascii="Bookman Old Style" w:hAnsi="Bookman Old Style" w:cs="Bookman Old Style"/>
        <w:sz w:val="16"/>
        <w:szCs w:val="16"/>
      </w:rPr>
      <w:tab/>
    </w:r>
  </w:p>
  <w:p w14:paraId="7ED2B080" w14:textId="77777777" w:rsidR="00A043BB" w:rsidRDefault="00000000">
    <w:pPr>
      <w:pStyle w:val="Header"/>
      <w:tabs>
        <w:tab w:val="clear" w:pos="4320"/>
      </w:tabs>
    </w:pPr>
    <w:r>
      <w:rPr>
        <w:rFonts w:ascii="Bookman Old Style" w:hAnsi="Bookman Old Style" w:cs="Bookman Old Style"/>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2024B0A"/>
    <w:multiLevelType w:val="multilevel"/>
    <w:tmpl w:val="08922078"/>
    <w:lvl w:ilvl="0">
      <w:start w:val="1"/>
      <w:numFmt w:val="decimal"/>
      <w:pStyle w:val="CPTABLE"/>
      <w:lvlText w:val="Tabel %1."/>
      <w:lvlJc w:val="center"/>
      <w:pPr>
        <w:tabs>
          <w:tab w:val="num" w:pos="0"/>
        </w:tabs>
        <w:ind w:left="720" w:hanging="360"/>
      </w:pPr>
      <w:rPr>
        <w:b w:val="0"/>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7F064B1"/>
    <w:multiLevelType w:val="multilevel"/>
    <w:tmpl w:val="39DC2E06"/>
    <w:lvl w:ilvl="0">
      <w:start w:val="1"/>
      <w:numFmt w:val="bullet"/>
      <w:lvlText w:val=""/>
      <w:lvlJc w:val="left"/>
      <w:pPr>
        <w:tabs>
          <w:tab w:val="num" w:pos="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44912F2"/>
    <w:multiLevelType w:val="multilevel"/>
    <w:tmpl w:val="EAB0F91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64A557FD"/>
    <w:multiLevelType w:val="multilevel"/>
    <w:tmpl w:val="840C3A06"/>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66076073">
    <w:abstractNumId w:val="0"/>
  </w:num>
  <w:num w:numId="2" w16cid:durableId="1664115445">
    <w:abstractNumId w:val="1"/>
  </w:num>
  <w:num w:numId="3" w16cid:durableId="327027850">
    <w:abstractNumId w:val="3"/>
  </w:num>
  <w:num w:numId="4" w16cid:durableId="1890992961">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3"/>
  <w:mirrorMargins/>
  <w:defaultTabStop w:val="720"/>
  <w:autoHyphenation/>
  <w:hyphenationZone w:val="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Q0NTW0tDAxNDEwMzBT0lEKTi0uzszPAymwqAUAZhyU3SwAAAA="/>
  </w:docVars>
  <w:rsids>
    <w:rsidRoot w:val="00A043BB"/>
    <w:rsid w:val="003145E4"/>
    <w:rsid w:val="00477F8F"/>
    <w:rsid w:val="005735F0"/>
    <w:rsid w:val="00667225"/>
    <w:rsid w:val="009F438C"/>
    <w:rsid w:val="00A043BB"/>
    <w:rsid w:val="00D6244D"/>
    <w:rsid w:val="00D838F2"/>
    <w:rsid w:val="00E87ABD"/>
    <w:rsid w:val="00EA4AC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4:docId w14:val="324FB764"/>
  <w15:docId w15:val="{F22493D0-5C6B-894B-8D62-02315F1FD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Liberation Serif" w:eastAsia="Noto Serif CJK SC" w:hAnsi="Liberation Serif" w:cs="DejaVu 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ID" w:bidi="ar-SA"/>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WW8Num1z0">
    <w:name w:val="WW8Num1z0"/>
    <w:qFormat/>
    <w:rPr>
      <w:b w:val="0"/>
      <w:i w:val="0"/>
    </w:rPr>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style>
  <w:style w:type="character" w:customStyle="1" w:styleId="WW8Num4z0">
    <w:name w:val="WW8Num4z0"/>
    <w:qFormat/>
  </w:style>
  <w:style w:type="character" w:customStyle="1" w:styleId="HeaderKAR">
    <w:name w:val="Header KAR"/>
    <w:qFormat/>
    <w:rPr>
      <w:sz w:val="24"/>
      <w:szCs w:val="24"/>
      <w:lang w:bidi="ar-SA"/>
    </w:rPr>
  </w:style>
  <w:style w:type="character" w:styleId="NomorHalaman">
    <w:name w:val="page number"/>
    <w:basedOn w:val="FontParagrafDefault"/>
  </w:style>
  <w:style w:type="character" w:customStyle="1" w:styleId="hps">
    <w:name w:val="hps"/>
    <w:qFormat/>
    <w:rPr>
      <w:rFonts w:cs="Times New Roman"/>
    </w:rPr>
  </w:style>
  <w:style w:type="character" w:customStyle="1" w:styleId="TeksCatatanKakiKAR">
    <w:name w:val="Teks Catatan Kaki KAR"/>
    <w:qFormat/>
    <w:rPr>
      <w:lang w:val="id-ID" w:bidi="ar-SA"/>
    </w:rPr>
  </w:style>
  <w:style w:type="character" w:customStyle="1" w:styleId="shorttext">
    <w:name w:val="short_text"/>
    <w:basedOn w:val="FontParagrafDefault"/>
    <w:qFormat/>
  </w:style>
  <w:style w:type="character" w:customStyle="1" w:styleId="FootnoteCharacters">
    <w:name w:val="Footnote Characters"/>
    <w:qFormat/>
    <w:rPr>
      <w:vertAlign w:val="superscript"/>
    </w:rPr>
  </w:style>
  <w:style w:type="character" w:customStyle="1" w:styleId="EndnoteCharacters">
    <w:name w:val="Endnote Characters"/>
    <w:qFormat/>
    <w:rPr>
      <w:vertAlign w:val="superscript"/>
    </w:rPr>
  </w:style>
  <w:style w:type="character" w:styleId="Kuat">
    <w:name w:val="Strong"/>
    <w:qFormat/>
    <w:rPr>
      <w:b/>
      <w:bCs/>
    </w:rPr>
  </w:style>
  <w:style w:type="character" w:customStyle="1" w:styleId="hpsalt-edited">
    <w:name w:val="hps alt-edited"/>
    <w:basedOn w:val="FontParagrafDefault"/>
    <w:qFormat/>
  </w:style>
  <w:style w:type="character" w:customStyle="1" w:styleId="hpsatn">
    <w:name w:val="hps atn"/>
    <w:basedOn w:val="FontParagrafDefault"/>
    <w:qFormat/>
  </w:style>
  <w:style w:type="character" w:styleId="Hyperlink">
    <w:name w:val="Hyperlink"/>
    <w:rPr>
      <w:color w:val="0000FF"/>
      <w:u w:val="single"/>
    </w:rPr>
  </w:style>
  <w:style w:type="character" w:styleId="Penekanan">
    <w:name w:val="Emphasis"/>
    <w:qFormat/>
    <w:rPr>
      <w:i/>
      <w:iCs/>
    </w:rPr>
  </w:style>
  <w:style w:type="character" w:customStyle="1" w:styleId="TeksBalonKAR">
    <w:name w:val="Teks Balon KAR"/>
    <w:qFormat/>
    <w:rPr>
      <w:rFonts w:ascii="Tahoma" w:eastAsia="Calibri" w:hAnsi="Tahoma" w:cs="Tahoma"/>
      <w:sz w:val="16"/>
      <w:szCs w:val="16"/>
      <w:lang w:val="en-GB"/>
    </w:rPr>
  </w:style>
  <w:style w:type="character" w:customStyle="1" w:styleId="st">
    <w:name w:val="st"/>
    <w:basedOn w:val="FontParagrafDefault"/>
    <w:qFormat/>
  </w:style>
  <w:style w:type="character" w:customStyle="1" w:styleId="ilfuvd">
    <w:name w:val="ilfuvd"/>
    <w:basedOn w:val="FontParagrafDefault"/>
    <w:qFormat/>
  </w:style>
  <w:style w:type="paragraph" w:customStyle="1" w:styleId="Heading">
    <w:name w:val="Heading"/>
    <w:basedOn w:val="Normal"/>
    <w:next w:val="TeksIsi"/>
    <w:qFormat/>
    <w:pPr>
      <w:keepNext/>
      <w:spacing w:before="240" w:after="120"/>
    </w:pPr>
    <w:rPr>
      <w:rFonts w:ascii="Liberation Sans" w:eastAsia="Noto Sans CJK SC" w:hAnsi="Liberation Sans" w:cs="DejaVu Sans"/>
      <w:sz w:val="28"/>
      <w:szCs w:val="28"/>
    </w:rPr>
  </w:style>
  <w:style w:type="paragraph" w:styleId="TeksIsi">
    <w:name w:val="Body Text"/>
    <w:basedOn w:val="Normal"/>
    <w:pPr>
      <w:spacing w:after="140" w:line="276" w:lineRule="auto"/>
    </w:pPr>
  </w:style>
  <w:style w:type="paragraph" w:styleId="Daftar">
    <w:name w:val="List"/>
    <w:basedOn w:val="TeksIsi"/>
    <w:rPr>
      <w:rFonts w:cs="DejaVu Sans"/>
    </w:rPr>
  </w:style>
  <w:style w:type="paragraph" w:styleId="Keterangan">
    <w:name w:val="caption"/>
    <w:basedOn w:val="Normal"/>
    <w:qFormat/>
    <w:pPr>
      <w:suppressLineNumbers/>
      <w:spacing w:before="120" w:after="120"/>
    </w:pPr>
    <w:rPr>
      <w:rFonts w:cs="DejaVu Sans"/>
      <w:i/>
      <w:iCs/>
    </w:rPr>
  </w:style>
  <w:style w:type="paragraph" w:customStyle="1" w:styleId="Index">
    <w:name w:val="Index"/>
    <w:basedOn w:val="Normal"/>
    <w:qFormat/>
    <w:pPr>
      <w:suppressLineNumbers/>
    </w:pPr>
    <w:rPr>
      <w:rFonts w:cs="DejaVu Sans"/>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aftarParagraf">
    <w:name w:val="List Paragraph"/>
    <w:basedOn w:val="Normal"/>
    <w:qFormat/>
    <w:pPr>
      <w:spacing w:after="200" w:line="276" w:lineRule="auto"/>
      <w:ind w:left="720"/>
    </w:pPr>
    <w:rPr>
      <w:rFonts w:ascii="Calibri" w:hAnsi="Calibri" w:cs="Calibri"/>
      <w:sz w:val="22"/>
      <w:szCs w:val="22"/>
    </w:rPr>
  </w:style>
  <w:style w:type="paragraph" w:styleId="TeksCatatanKaki">
    <w:name w:val="footnote text"/>
    <w:basedOn w:val="Normal"/>
    <w:rPr>
      <w:sz w:val="20"/>
      <w:szCs w:val="20"/>
    </w:rPr>
  </w:style>
  <w:style w:type="paragraph" w:styleId="TeksCatatanAkhir">
    <w:name w:val="endnote text"/>
    <w:basedOn w:val="Normal"/>
    <w:rPr>
      <w:sz w:val="20"/>
      <w:szCs w:val="20"/>
    </w:rPr>
  </w:style>
  <w:style w:type="paragraph" w:styleId="TeksBalon">
    <w:name w:val="Balloon Text"/>
    <w:basedOn w:val="Normal"/>
    <w:qFormat/>
    <w:pPr>
      <w:contextualSpacing/>
      <w:jc w:val="both"/>
    </w:pPr>
    <w:rPr>
      <w:rFonts w:ascii="Tahoma" w:eastAsia="Calibri" w:hAnsi="Tahoma" w:cs="Tahoma"/>
      <w:sz w:val="16"/>
      <w:szCs w:val="16"/>
      <w:lang w:val="en-GB"/>
    </w:rPr>
  </w:style>
  <w:style w:type="paragraph" w:customStyle="1" w:styleId="CPTABLE">
    <w:name w:val="CP_TABLE"/>
    <w:basedOn w:val="Normal"/>
    <w:qFormat/>
    <w:pPr>
      <w:numPr>
        <w:numId w:val="1"/>
      </w:numPr>
      <w:spacing w:before="240" w:after="120"/>
      <w:ind w:left="850" w:hanging="493"/>
      <w:contextualSpacing/>
      <w:jc w:val="center"/>
    </w:pPr>
    <w:rPr>
      <w:rFonts w:eastAsia="Calibri" w:cs="Calibri"/>
      <w:lang w:val="en-US"/>
    </w:rPr>
  </w:style>
  <w:style w:type="paragraph" w:customStyle="1" w:styleId="E-JOURNALAbstrakTitle">
    <w:name w:val="E-JOURNAL_AbstrakTitle"/>
    <w:basedOn w:val="Normal"/>
    <w:qFormat/>
    <w:pPr>
      <w:spacing w:after="60"/>
      <w:jc w:val="center"/>
    </w:pPr>
    <w:rPr>
      <w:b/>
      <w:sz w:val="22"/>
    </w:rPr>
  </w:style>
  <w:style w:type="paragraph" w:customStyle="1" w:styleId="E-JOURNALAuthor">
    <w:name w:val="E-JOURNAL_Author"/>
    <w:basedOn w:val="Normal"/>
    <w:qFormat/>
    <w:pPr>
      <w:jc w:val="center"/>
    </w:pPr>
    <w:rPr>
      <w:sz w:val="22"/>
      <w:szCs w:val="22"/>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 w:type="paragraph" w:customStyle="1" w:styleId="HeaderLeft">
    <w:name w:val="Header Left"/>
    <w:basedOn w:val="Header"/>
    <w:qFormat/>
    <w:pPr>
      <w:suppressLineNumbers/>
      <w:tabs>
        <w:tab w:val="clear" w:pos="4320"/>
        <w:tab w:val="clear" w:pos="8640"/>
        <w:tab w:val="center" w:pos="3713"/>
        <w:tab w:val="right" w:pos="7426"/>
      </w:tabs>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character" w:styleId="SebutanYangBelumTerselesaikan">
    <w:name w:val="Unresolved Mention"/>
    <w:basedOn w:val="FontParagrafDefault"/>
    <w:uiPriority w:val="99"/>
    <w:semiHidden/>
    <w:unhideWhenUsed/>
    <w:rsid w:val="009F43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ayatul050103@gmail.com"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empa.huzaimah.2521038@students.um.ac.id"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15</Pages>
  <Words>3295</Words>
  <Characters>22013</Characters>
  <Application>Microsoft Office Word</Application>
  <DocSecurity>0</DocSecurity>
  <Lines>1000</Lines>
  <Paragraphs>516</Paragraphs>
  <ScaleCrop>false</ScaleCrop>
  <Company/>
  <LinksUpToDate>false</LinksUpToDate>
  <CharactersWithSpaces>24792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Ilmiah Peuradeun</dc:title>
  <dc:subject>JIP-International Journal</dc:subject>
  <dc:creator>SCAD Independent</dc:creator>
  <cp:keywords>jurnal ilmiah peuradeun international journal multidisciplinary</cp:keywords>
  <dc:description>www.scadindependent.org</dc:description>
  <cp:lastModifiedBy>mardhatillah.pasca</cp:lastModifiedBy>
  <cp:revision>4</cp:revision>
  <cp:lastPrinted>2015-04-16T22:53:00Z</cp:lastPrinted>
  <dcterms:created xsi:type="dcterms:W3CDTF">2026-07-25T08:38:00Z</dcterms:created>
  <dcterms:modified xsi:type="dcterms:W3CDTF">2026-07-30T03:24:00Z</dcterms:modified>
  <dc:language>en-US</dc:language>
</cp:coreProperties>
</file>