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14405D" w14:textId="77777777" w:rsidR="00B44D61" w:rsidRDefault="00B44D61" w:rsidP="00B44D61">
      <w:pPr>
        <w:rPr>
          <w:rFonts w:ascii="Bookman Old Style" w:hAnsi="Bookman Old Style" w:cs="Calibri Light"/>
          <w:b/>
          <w:lang w:val="en-US"/>
        </w:rPr>
      </w:pPr>
    </w:p>
    <w:p w14:paraId="33F60F05" w14:textId="77777777" w:rsidR="00D46489" w:rsidRPr="001B1A8B" w:rsidRDefault="00D46489" w:rsidP="007B2C82">
      <w:pPr>
        <w:spacing w:line="276" w:lineRule="auto"/>
        <w:jc w:val="center"/>
        <w:rPr>
          <w:rFonts w:ascii="Bookman Old Style" w:hAnsi="Bookman Old Style" w:cs="Calibri Light"/>
          <w:b/>
          <w:lang w:val="en-US"/>
        </w:rPr>
      </w:pPr>
      <w:r w:rsidRPr="001B1A8B">
        <w:rPr>
          <w:rFonts w:ascii="Bookman Old Style" w:hAnsi="Bookman Old Style" w:cs="Bookman Old Style"/>
          <w:b/>
          <w:lang w:val="en-US"/>
        </w:rPr>
        <w:t>TEACHERS’ PEDAGOGICAL STRATEGIES FOR INTEGRATING LOCAL WISDOM INTO LANGUAGE EDUCATION IN INDONESIAN MULTILINGUAL CLASSROOMS</w:t>
      </w:r>
    </w:p>
    <w:p w14:paraId="01AB077D" w14:textId="77777777" w:rsidR="00692D99" w:rsidRPr="004B601A" w:rsidRDefault="00692D99" w:rsidP="005B0EFF">
      <w:pPr>
        <w:jc w:val="center"/>
        <w:rPr>
          <w:rFonts w:ascii="Bookman Old Style" w:hAnsi="Bookman Old Style" w:cs="Calibri Light"/>
          <w:b/>
          <w:bCs/>
          <w:sz w:val="22"/>
          <w:szCs w:val="22"/>
          <w:lang w:val="en-US"/>
        </w:rPr>
      </w:pPr>
    </w:p>
    <w:p w14:paraId="194B03A1" w14:textId="77777777" w:rsidR="003816E2" w:rsidRPr="004B601A" w:rsidRDefault="00626866" w:rsidP="00191BC9">
      <w:pPr>
        <w:spacing w:line="276" w:lineRule="auto"/>
        <w:jc w:val="center"/>
        <w:rPr>
          <w:rFonts w:ascii="Bookman Old Style" w:hAnsi="Bookman Old Style" w:cs="Calibri Light"/>
          <w:b/>
          <w:bCs/>
          <w:sz w:val="22"/>
          <w:szCs w:val="22"/>
          <w:lang w:val="en-US"/>
        </w:rPr>
      </w:pPr>
      <w:r w:rsidRPr="004B601A">
        <w:rPr>
          <w:rFonts w:ascii="Bookman Old Style" w:hAnsi="Bookman Old Style" w:cs="Bookman Old Style"/>
          <w:b/>
          <w:sz w:val="22"/>
          <w:szCs w:val="22"/>
          <w:lang w:val="en-US"/>
        </w:rPr>
        <w:t>Dyoty Auliya Vilda Ghasya</w:t>
      </w:r>
      <w:r>
        <w:rPr>
          <w:rFonts w:ascii="Bookman Old Style" w:hAnsi="Bookman Old Style" w:cs="Bookman Old Style"/>
          <w:sz w:val="22"/>
          <w:vertAlign w:val="superscript"/>
        </w:rPr>
        <w:t>1</w:t>
      </w:r>
    </w:p>
    <w:p w14:paraId="6DD6FA53"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Universitas </w:t>
      </w:r>
      <w:proofErr w:type="spellStart"/>
      <w:r w:rsidRPr="004B601A">
        <w:rPr>
          <w:rFonts w:ascii="Bookman Old Style" w:hAnsi="Bookman Old Style" w:cs="Bookman Old Style"/>
          <w:i/>
          <w:iCs/>
          <w:sz w:val="22"/>
          <w:vertAlign w:val="superscript"/>
          <w:lang w:val="en-US"/>
        </w:rPr>
        <w:t>Tanjungpura</w:t>
      </w:r>
      <w:proofErr w:type="spellEnd"/>
    </w:p>
    <w:p w14:paraId="6B4E33E4" w14:textId="61CC3D13"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Email: </w:t>
      </w:r>
      <w:hyperlink r:id="rId8" w:history="1">
        <w:r w:rsidR="00FD59E6" w:rsidRPr="00335A37">
          <w:rPr>
            <w:rStyle w:val="Hyperlink"/>
            <w:rFonts w:ascii="Bookman Old Style" w:hAnsi="Bookman Old Style" w:cs="Bookman Old Style"/>
            <w:i/>
            <w:iCs/>
            <w:sz w:val="22"/>
            <w:vertAlign w:val="superscript"/>
            <w:lang w:val="en-US"/>
          </w:rPr>
          <w:t>dyoty@fkip.untan.ac.id</w:t>
        </w:r>
      </w:hyperlink>
      <w:r w:rsidR="00FD59E6">
        <w:rPr>
          <w:rFonts w:ascii="Bookman Old Style" w:hAnsi="Bookman Old Style" w:cs="Bookman Old Style"/>
          <w:i/>
          <w:iCs/>
          <w:sz w:val="22"/>
          <w:vertAlign w:val="superscript"/>
          <w:lang w:val="en-US"/>
        </w:rPr>
        <w:t xml:space="preserve"> </w:t>
      </w:r>
    </w:p>
    <w:p w14:paraId="3229A7B1" w14:textId="77777777" w:rsidR="00191BC9" w:rsidRPr="004B601A" w:rsidRDefault="00191BC9" w:rsidP="00DB7E9B">
      <w:pPr>
        <w:spacing w:line="276" w:lineRule="auto"/>
        <w:jc w:val="center"/>
        <w:rPr>
          <w:rFonts w:ascii="Bookman Old Style" w:hAnsi="Bookman Old Style" w:cs="Calibri Light"/>
          <w:b/>
          <w:sz w:val="22"/>
          <w:szCs w:val="22"/>
          <w:vertAlign w:val="superscript"/>
          <w:lang w:val="en-US"/>
        </w:rPr>
      </w:pPr>
      <w:r w:rsidRPr="004B601A">
        <w:rPr>
          <w:rFonts w:ascii="Bookman Old Style" w:hAnsi="Bookman Old Style" w:cs="Bookman Old Style"/>
          <w:b/>
          <w:sz w:val="22"/>
          <w:szCs w:val="22"/>
          <w:lang w:val="en-US"/>
        </w:rPr>
        <w:t>Helminsyah</w:t>
      </w:r>
      <w:r>
        <w:rPr>
          <w:rFonts w:ascii="Bookman Old Style" w:hAnsi="Bookman Old Style" w:cs="Bookman Old Style"/>
          <w:sz w:val="22"/>
          <w:vertAlign w:val="superscript"/>
        </w:rPr>
        <w:t>2</w:t>
      </w:r>
    </w:p>
    <w:p w14:paraId="03130081"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Universitas Bina </w:t>
      </w:r>
      <w:proofErr w:type="spellStart"/>
      <w:r w:rsidRPr="004B601A">
        <w:rPr>
          <w:rFonts w:ascii="Bookman Old Style" w:hAnsi="Bookman Old Style" w:cs="Bookman Old Style"/>
          <w:i/>
          <w:iCs/>
          <w:sz w:val="22"/>
          <w:vertAlign w:val="superscript"/>
          <w:lang w:val="en-US"/>
        </w:rPr>
        <w:t>Bangsa</w:t>
      </w:r>
      <w:proofErr w:type="spellEnd"/>
      <w:r w:rsidRPr="004B601A">
        <w:rPr>
          <w:rFonts w:ascii="Bookman Old Style" w:hAnsi="Bookman Old Style" w:cs="Bookman Old Style"/>
          <w:i/>
          <w:iCs/>
          <w:sz w:val="22"/>
          <w:vertAlign w:val="superscript"/>
          <w:lang w:val="en-US"/>
        </w:rPr>
        <w:t xml:space="preserve"> </w:t>
      </w:r>
      <w:proofErr w:type="spellStart"/>
      <w:r w:rsidRPr="004B601A">
        <w:rPr>
          <w:rFonts w:ascii="Bookman Old Style" w:hAnsi="Bookman Old Style" w:cs="Bookman Old Style"/>
          <w:i/>
          <w:iCs/>
          <w:sz w:val="22"/>
          <w:vertAlign w:val="superscript"/>
          <w:lang w:val="en-US"/>
        </w:rPr>
        <w:t>Getsempena</w:t>
      </w:r>
      <w:proofErr w:type="spellEnd"/>
      <w:r w:rsidRPr="004B601A">
        <w:rPr>
          <w:rFonts w:ascii="Bookman Old Style" w:hAnsi="Bookman Old Style" w:cs="Bookman Old Style"/>
          <w:i/>
          <w:iCs/>
          <w:sz w:val="22"/>
          <w:vertAlign w:val="superscript"/>
          <w:lang w:val="en-US"/>
        </w:rPr>
        <w:t xml:space="preserve"> Banda Aceh</w:t>
      </w:r>
    </w:p>
    <w:p w14:paraId="0B07081E" w14:textId="70F72F5E"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Email: </w:t>
      </w:r>
      <w:hyperlink r:id="rId9" w:history="1">
        <w:r w:rsidR="00FD59E6" w:rsidRPr="00335A37">
          <w:rPr>
            <w:rStyle w:val="Hyperlink"/>
            <w:rFonts w:ascii="Bookman Old Style" w:hAnsi="Bookman Old Style" w:cs="Bookman Old Style"/>
            <w:i/>
            <w:iCs/>
            <w:sz w:val="22"/>
            <w:vertAlign w:val="superscript"/>
            <w:lang w:val="en-US"/>
          </w:rPr>
          <w:t>helminsyah@bbg.ac.id</w:t>
        </w:r>
      </w:hyperlink>
      <w:r w:rsidR="00FD59E6">
        <w:rPr>
          <w:rFonts w:ascii="Bookman Old Style" w:hAnsi="Bookman Old Style" w:cs="Bookman Old Style"/>
          <w:i/>
          <w:iCs/>
          <w:sz w:val="22"/>
          <w:vertAlign w:val="superscript"/>
          <w:lang w:val="en-US"/>
        </w:rPr>
        <w:t xml:space="preserve"> </w:t>
      </w:r>
    </w:p>
    <w:p w14:paraId="27CF23AB" w14:textId="77777777" w:rsidR="00191BC9" w:rsidRPr="004B601A" w:rsidRDefault="00191BC9" w:rsidP="00CC281E">
      <w:pPr>
        <w:spacing w:line="276" w:lineRule="auto"/>
        <w:jc w:val="center"/>
        <w:rPr>
          <w:rFonts w:ascii="Bookman Old Style" w:hAnsi="Bookman Old Style" w:cs="Calibri Light"/>
          <w:i/>
          <w:iCs/>
          <w:sz w:val="20"/>
          <w:szCs w:val="20"/>
          <w:lang w:val="en-US"/>
        </w:rPr>
      </w:pPr>
      <w:r w:rsidRPr="004B601A">
        <w:rPr>
          <w:rFonts w:ascii="Bookman Old Style" w:hAnsi="Bookman Old Style" w:cs="Bookman Old Style"/>
          <w:b/>
          <w:sz w:val="22"/>
          <w:szCs w:val="22"/>
          <w:lang w:val="en-US"/>
        </w:rPr>
        <w:t>Nurul Fatehah Binti Norhazaruddin</w:t>
      </w:r>
      <w:r>
        <w:rPr>
          <w:rFonts w:ascii="Bookman Old Style" w:hAnsi="Bookman Old Style" w:cs="Bookman Old Style"/>
          <w:sz w:val="22"/>
          <w:vertAlign w:val="superscript"/>
        </w:rPr>
        <w:t>3</w:t>
      </w:r>
    </w:p>
    <w:p w14:paraId="50982D81" w14:textId="77777777" w:rsidR="00191BC9" w:rsidRPr="004B601A" w:rsidRDefault="00191BC9" w:rsidP="00191BC9">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Universiti Putra Malaysia</w:t>
      </w:r>
    </w:p>
    <w:p w14:paraId="79168903" w14:textId="6EA2D8CD" w:rsidR="00B44D61" w:rsidRPr="004B601A" w:rsidRDefault="00191BC9" w:rsidP="00B44D61">
      <w:pPr>
        <w:spacing w:line="276" w:lineRule="auto"/>
        <w:jc w:val="center"/>
        <w:rPr>
          <w:rFonts w:ascii="Bookman Old Style" w:hAnsi="Bookman Old Style" w:cs="Calibri Light"/>
          <w:i/>
          <w:iCs/>
          <w:vertAlign w:val="superscript"/>
          <w:lang w:val="en-US"/>
        </w:rPr>
      </w:pPr>
      <w:r w:rsidRPr="004B601A">
        <w:rPr>
          <w:rFonts w:ascii="Bookman Old Style" w:hAnsi="Bookman Old Style" w:cs="Bookman Old Style"/>
          <w:i/>
          <w:iCs/>
          <w:sz w:val="22"/>
          <w:vertAlign w:val="superscript"/>
          <w:lang w:val="en-US"/>
        </w:rPr>
        <w:t xml:space="preserve">Email: </w:t>
      </w:r>
      <w:hyperlink r:id="rId10" w:history="1">
        <w:r w:rsidR="00FD59E6" w:rsidRPr="00335A37">
          <w:rPr>
            <w:rStyle w:val="Hyperlink"/>
            <w:rFonts w:ascii="Bookman Old Style" w:hAnsi="Bookman Old Style" w:cs="Bookman Old Style"/>
            <w:i/>
            <w:iCs/>
            <w:sz w:val="22"/>
            <w:vertAlign w:val="superscript"/>
            <w:lang w:val="en-US"/>
          </w:rPr>
          <w:t>212309@student.upm.edu.my</w:t>
        </w:r>
      </w:hyperlink>
      <w:r w:rsidR="00FD59E6">
        <w:rPr>
          <w:rFonts w:ascii="Bookman Old Style" w:hAnsi="Bookman Old Style" w:cs="Bookman Old Style"/>
          <w:i/>
          <w:iCs/>
          <w:sz w:val="22"/>
          <w:vertAlign w:val="superscript"/>
          <w:lang w:val="en-US"/>
        </w:rPr>
        <w:t xml:space="preserve"> </w:t>
      </w:r>
    </w:p>
    <w:tbl>
      <w:tblPr>
        <w:tblW w:w="0" w:type="auto"/>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7251"/>
      </w:tblGrid>
      <w:tr w:rsidR="008E29C6" w:rsidRPr="004B601A" w14:paraId="727A4594" w14:textId="77777777" w:rsidTr="00C43749">
        <w:trPr>
          <w:jc w:val="center"/>
        </w:trPr>
        <w:tc>
          <w:tcPr>
            <w:tcW w:w="7251" w:type="dxa"/>
          </w:tcPr>
          <w:p w14:paraId="709323D6" w14:textId="77777777" w:rsidR="004B738A" w:rsidRPr="004B601A" w:rsidRDefault="004B738A" w:rsidP="00C43749">
            <w:pPr>
              <w:spacing w:line="276" w:lineRule="auto"/>
              <w:jc w:val="both"/>
              <w:rPr>
                <w:rFonts w:ascii="Bookman Old Style" w:hAnsi="Bookman Old Style" w:cs="Calibri Light"/>
                <w:b/>
                <w:bCs/>
                <w:sz w:val="22"/>
                <w:szCs w:val="22"/>
                <w:lang w:val="en-US"/>
              </w:rPr>
            </w:pPr>
            <w:r>
              <w:rPr>
                <w:rFonts w:ascii="Bookman Old Style" w:hAnsi="Bookman Old Style" w:cs="Bookman Old Style"/>
                <w:b/>
                <w:sz w:val="22"/>
              </w:rPr>
              <w:t>Abstract</w:t>
            </w:r>
          </w:p>
          <w:p w14:paraId="57D2AA39" w14:textId="77777777" w:rsidR="00450D29" w:rsidRDefault="00000000">
            <w:pPr>
              <w:spacing w:line="276" w:lineRule="auto"/>
              <w:jc w:val="both"/>
            </w:pPr>
            <w:r>
              <w:rPr>
                <w:rFonts w:ascii="Bookman Old Style" w:hAnsi="Bookman Old Style" w:cs="Bookman Old Style"/>
                <w:i/>
                <w:sz w:val="22"/>
              </w:rPr>
              <w:t xml:space="preserve">Local wisdom has become an important pedagogical resource in language education because it connects language learning with students’ cultural identity, community knowledge, and everyday communicative practices. However, language classrooms are often dominated by textbook-based instruction and standardized linguistic targets that provide limited space for students’ local cultural experiences. This study aims to examine teachers’ pedagogical strategies for integrating local wisdom into language education and to analyze how these strategies support students’ classroom engagement and intercultural awareness. The study employed a mixed-method design involving 48 language teachers, 192 students, 12 teacher interviews, 8 classroom observations, and 24 teaching documents. Quantitative data were analyzed using descriptive statistics and correlation analysis, while qualitative data were examined through thematic analysis. The findings indicate that teachers integrated local wisdom through contextualized materials, local narratives, cultural resource </w:t>
            </w:r>
            <w:r>
              <w:rPr>
                <w:rFonts w:ascii="Bookman Old Style" w:hAnsi="Bookman Old Style" w:cs="Bookman Old Style"/>
                <w:i/>
                <w:sz w:val="22"/>
              </w:rPr>
              <w:lastRenderedPageBreak/>
              <w:t>mapping, translanguaging practices, community-based tasks, and reflective intercultural assessment. Contextualized teaching materials were the most frequently used strategy (M = 4.32; SD = 0.51), followed by local narratives and oral traditions (M = 4.15; SD = 0.57). Reflective intercultural assessment was least frequently implemented (M = 3.08; SD = 0.79), although it showed the strongest correlation with intercultural awareness (r = 0.62; p &lt; .01). The study concludes that local wisdom should be positioned as a pedagogical foundation for culturally responsive, multilingual, and reflective language education.</w:t>
            </w:r>
          </w:p>
          <w:p w14:paraId="47D932AF" w14:textId="77777777" w:rsidR="00450D29" w:rsidRDefault="00000000">
            <w:pPr>
              <w:spacing w:line="276" w:lineRule="auto"/>
              <w:jc w:val="both"/>
            </w:pPr>
            <w:r>
              <w:rPr>
                <w:rFonts w:ascii="Bookman Old Style" w:hAnsi="Bookman Old Style" w:cs="Bookman Old Style"/>
                <w:b/>
                <w:sz w:val="22"/>
              </w:rPr>
              <w:t xml:space="preserve">Keywords: </w:t>
            </w:r>
            <w:r>
              <w:rPr>
                <w:rFonts w:ascii="Bookman Old Style" w:hAnsi="Bookman Old Style" w:cs="Bookman Old Style"/>
                <w:i/>
                <w:sz w:val="22"/>
              </w:rPr>
              <w:t>local wisdom; language education; pedagogical strategies; mixed method; culturally responsive teaching</w:t>
            </w:r>
          </w:p>
        </w:tc>
      </w:tr>
      <w:tr w:rsidR="00B44D61" w:rsidRPr="004B601A" w14:paraId="17C49DBB" w14:textId="77777777" w:rsidTr="00C43749">
        <w:trPr>
          <w:jc w:val="center"/>
        </w:trPr>
        <w:tc>
          <w:tcPr>
            <w:tcW w:w="7251" w:type="dxa"/>
          </w:tcPr>
          <w:p w14:paraId="57CC2F15" w14:textId="77777777" w:rsidR="00B44D61" w:rsidRPr="00B44D61" w:rsidRDefault="00B44D61" w:rsidP="00C43749">
            <w:pPr>
              <w:spacing w:before="120" w:line="360" w:lineRule="auto"/>
              <w:ind w:left="-108"/>
              <w:jc w:val="both"/>
              <w:rPr>
                <w:rFonts w:ascii="Bookman Old Style" w:hAnsi="Bookman Old Style" w:cs="Calibri Light"/>
                <w:b/>
                <w:bCs/>
                <w:sz w:val="18"/>
                <w:szCs w:val="18"/>
                <w:lang w:val="en-US"/>
              </w:rPr>
            </w:pPr>
            <w:r w:rsidRPr="00B44D61">
              <w:rPr>
                <w:rFonts w:ascii="Bookman Old Style" w:hAnsi="Bookman Old Style" w:cs="Calibri Light"/>
                <w:b/>
                <w:bCs/>
                <w:sz w:val="18"/>
                <w:szCs w:val="18"/>
                <w:lang w:val="en-US"/>
              </w:rPr>
              <w:lastRenderedPageBreak/>
              <w:t>Article history</w:t>
            </w:r>
          </w:p>
          <w:tbl>
            <w:tblPr>
              <w:tblW w:w="0" w:type="auto"/>
              <w:tblLook w:val="04A0" w:firstRow="1" w:lastRow="0" w:firstColumn="1" w:lastColumn="0" w:noHBand="0" w:noVBand="1"/>
            </w:tblPr>
            <w:tblGrid>
              <w:gridCol w:w="2340"/>
              <w:gridCol w:w="2340"/>
              <w:gridCol w:w="2340"/>
            </w:tblGrid>
            <w:tr w:rsidR="00B44D61" w14:paraId="1C837525" w14:textId="77777777">
              <w:tc>
                <w:tcPr>
                  <w:tcW w:w="2340" w:type="dxa"/>
                </w:tcPr>
                <w:p w14:paraId="4F371D42" w14:textId="77777777" w:rsidR="00B44D61" w:rsidRDefault="00B44D61">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Received</w:t>
                  </w:r>
                </w:p>
              </w:tc>
              <w:tc>
                <w:tcPr>
                  <w:tcW w:w="2340" w:type="dxa"/>
                </w:tcPr>
                <w:p w14:paraId="106A44A5" w14:textId="77777777" w:rsidR="00B44D61" w:rsidRDefault="00B44D61">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Accepted</w:t>
                  </w:r>
                </w:p>
              </w:tc>
              <w:tc>
                <w:tcPr>
                  <w:tcW w:w="2340" w:type="dxa"/>
                </w:tcPr>
                <w:p w14:paraId="57D83559" w14:textId="77777777" w:rsidR="00B44D61" w:rsidRDefault="00B44D61">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Published</w:t>
                  </w:r>
                </w:p>
              </w:tc>
            </w:tr>
            <w:tr w:rsidR="00B44D61" w14:paraId="04F8FE2E" w14:textId="77777777">
              <w:tc>
                <w:tcPr>
                  <w:tcW w:w="2340" w:type="dxa"/>
                </w:tcPr>
                <w:p w14:paraId="7A31CFCC" w14:textId="77777777" w:rsidR="00B44D61" w:rsidRDefault="00B44D61">
                  <w:pPr>
                    <w:jc w:val="both"/>
                    <w:rPr>
                      <w:rFonts w:ascii="Bookman Old Style" w:hAnsi="Bookman Old Style" w:cs="Calibri Light"/>
                      <w:i/>
                      <w:iCs/>
                      <w:sz w:val="18"/>
                      <w:szCs w:val="18"/>
                      <w:lang w:val="en-US"/>
                    </w:rPr>
                  </w:pPr>
                  <w:r>
                    <w:rPr>
                      <w:rFonts w:ascii="Bookman Old Style" w:hAnsi="Bookman Old Style" w:cs="Bookman Old Style"/>
                      <w:i/>
                      <w:iCs/>
                      <w:sz w:val="20"/>
                      <w:szCs w:val="18"/>
                      <w:lang w:val="en-US"/>
                    </w:rPr>
                    <w:t>Date: May 18, 2023</w:t>
                  </w:r>
                </w:p>
              </w:tc>
              <w:tc>
                <w:tcPr>
                  <w:tcW w:w="2340" w:type="dxa"/>
                </w:tcPr>
                <w:p w14:paraId="63FDD0A0" w14:textId="77777777" w:rsidR="00B44D61" w:rsidRDefault="00B44D61">
                  <w:pPr>
                    <w:jc w:val="both"/>
                    <w:rPr>
                      <w:rFonts w:ascii="Bookman Old Style" w:hAnsi="Bookman Old Style" w:cs="Calibri Light"/>
                      <w:i/>
                      <w:iCs/>
                      <w:sz w:val="18"/>
                      <w:szCs w:val="18"/>
                      <w:lang w:val="en-US"/>
                    </w:rPr>
                  </w:pPr>
                  <w:r>
                    <w:rPr>
                      <w:rFonts w:ascii="Bookman Old Style" w:hAnsi="Bookman Old Style" w:cs="Bookman Old Style"/>
                      <w:i/>
                      <w:iCs/>
                      <w:sz w:val="20"/>
                      <w:szCs w:val="18"/>
                      <w:lang w:val="en-US"/>
                    </w:rPr>
                    <w:t>Date: July 28, 2023</w:t>
                  </w:r>
                </w:p>
              </w:tc>
              <w:tc>
                <w:tcPr>
                  <w:tcW w:w="2340" w:type="dxa"/>
                </w:tcPr>
                <w:p w14:paraId="1B396C35" w14:textId="77777777" w:rsidR="00B44D61" w:rsidRDefault="00B44D61">
                  <w:pPr>
                    <w:jc w:val="both"/>
                    <w:rPr>
                      <w:rFonts w:ascii="Bookman Old Style" w:hAnsi="Bookman Old Style" w:cs="Calibri Light"/>
                      <w:i/>
                      <w:iCs/>
                      <w:sz w:val="18"/>
                      <w:szCs w:val="18"/>
                      <w:lang w:val="en-US"/>
                    </w:rPr>
                  </w:pPr>
                  <w:r>
                    <w:rPr>
                      <w:rFonts w:ascii="Bookman Old Style" w:hAnsi="Bookman Old Style" w:cs="Bookman Old Style"/>
                      <w:i/>
                      <w:iCs/>
                      <w:sz w:val="20"/>
                      <w:szCs w:val="18"/>
                      <w:lang w:val="en-US"/>
                    </w:rPr>
                    <w:t>Date: August 20, 2023</w:t>
                  </w:r>
                </w:p>
              </w:tc>
            </w:tr>
          </w:tbl>
          <w:p w14:paraId="5F3BE4C7" w14:textId="77777777" w:rsidR="00B44D61" w:rsidRPr="004B601A" w:rsidRDefault="00B44D61" w:rsidP="00B44D61">
            <w:pPr>
              <w:spacing w:before="120" w:line="360" w:lineRule="auto"/>
              <w:ind w:left="-108"/>
              <w:jc w:val="both"/>
              <w:rPr>
                <w:rFonts w:ascii="Bookman Old Style" w:hAnsi="Bookman Old Style" w:cs="Calibri Light"/>
                <w:b/>
                <w:bCs/>
                <w:sz w:val="22"/>
                <w:szCs w:val="22"/>
                <w:lang w:val="en-US"/>
              </w:rPr>
            </w:pPr>
          </w:p>
        </w:tc>
      </w:tr>
    </w:tbl>
    <w:p w14:paraId="6CE3D6F0" w14:textId="77777777" w:rsidR="00450D29" w:rsidRDefault="00450D29">
      <w:pPr>
        <w:spacing w:line="276" w:lineRule="auto"/>
      </w:pPr>
    </w:p>
    <w:p w14:paraId="7BB9A461" w14:textId="77777777" w:rsidR="00697BEF" w:rsidRPr="004B601A" w:rsidRDefault="00697BEF" w:rsidP="00427FB9">
      <w:pPr>
        <w:pStyle w:val="DaftarParagraf"/>
        <w:keepNext/>
        <w:shd w:val="clear" w:color="auto" w:fill="FFFFFF"/>
        <w:spacing w:after="0"/>
        <w:ind w:left="0"/>
        <w:jc w:val="both"/>
        <w:rPr>
          <w:rFonts w:ascii="Bookman Old Style" w:hAnsi="Bookman Old Style" w:cs="Calibri Light"/>
          <w:b/>
          <w:lang w:val="en-US"/>
        </w:rPr>
      </w:pPr>
      <w:r w:rsidRPr="004B601A">
        <w:rPr>
          <w:rFonts w:ascii="Bookman Old Style" w:hAnsi="Bookman Old Style" w:cs="Calibri Light"/>
          <w:b/>
          <w:lang w:val="en-US"/>
        </w:rPr>
        <w:t>A. Introduction</w:t>
      </w:r>
    </w:p>
    <w:p w14:paraId="1BE40C5C" w14:textId="77777777" w:rsidR="00450D29" w:rsidRDefault="00000000">
      <w:pPr>
        <w:spacing w:line="276" w:lineRule="auto"/>
        <w:ind w:firstLine="720"/>
        <w:jc w:val="both"/>
      </w:pPr>
      <w:r>
        <w:rPr>
          <w:rFonts w:ascii="Bookman Old Style" w:hAnsi="Bookman Old Style" w:cs="Bookman Old Style"/>
          <w:sz w:val="22"/>
        </w:rPr>
        <w:t>Language education is closely related to culture because language carries values, identities, and ways of understanding the world. Learning a language is not only mastering vocabulary, grammar, and the four skills; it also means learning how meanings are constructed within particular cultural and social contexts, so language education should not be separated from students' cultural backgrounds.</w:t>
      </w:r>
    </w:p>
    <w:p w14:paraId="16BAE749" w14:textId="77777777" w:rsidR="00450D29" w:rsidRDefault="00000000">
      <w:pPr>
        <w:spacing w:line="276" w:lineRule="auto"/>
        <w:ind w:firstLine="720"/>
        <w:jc w:val="both"/>
      </w:pPr>
      <w:r>
        <w:rPr>
          <w:rFonts w:ascii="Bookman Old Style" w:hAnsi="Bookman Old Style" w:cs="Bookman Old Style"/>
          <w:sz w:val="22"/>
        </w:rPr>
        <w:t>In multilingual societies such as Indonesia, students often grow up using local languages at home, Indonesian in formal contexts, and English at school — bringing local stories, oral traditions, social values, and everyday expressions that can become meaningful resources for language learning rather than entering the classroom as culturally empty subjects.</w:t>
      </w:r>
    </w:p>
    <w:p w14:paraId="1B47A866" w14:textId="77777777" w:rsidR="00450D29" w:rsidRDefault="00000000">
      <w:pPr>
        <w:spacing w:line="276" w:lineRule="auto"/>
        <w:ind w:firstLine="720"/>
        <w:jc w:val="both"/>
      </w:pPr>
      <w:r>
        <w:rPr>
          <w:rFonts w:ascii="Bookman Old Style" w:hAnsi="Bookman Old Style" w:cs="Bookman Old Style"/>
          <w:sz w:val="22"/>
        </w:rPr>
        <w:t xml:space="preserve">Language education is nevertheless frequently dominated by standardized, textbook-based instruction that underrepresents learners' own local cultures (Shin, Eslami, &amp; Chen, 2011). Culture in EFL textbooks should be treated as a process of meaning-making rather than static information (Weninger &amp; Kiss, 2013), and nationally endorsed Indonesian English textbooks, though </w:t>
      </w:r>
      <w:r>
        <w:rPr>
          <w:rFonts w:ascii="Bookman Old Style" w:hAnsi="Bookman Old Style" w:cs="Bookman Old Style"/>
          <w:sz w:val="22"/>
        </w:rPr>
        <w:lastRenderedPageBreak/>
        <w:t>containing multicultural values, still require critical classroom mediation (Setyono &amp; Widodo, 2019).</w:t>
      </w:r>
    </w:p>
    <w:p w14:paraId="27141278" w14:textId="77777777" w:rsidR="00450D29" w:rsidRDefault="00000000">
      <w:pPr>
        <w:spacing w:line="276" w:lineRule="auto"/>
        <w:ind w:firstLine="720"/>
        <w:jc w:val="both"/>
      </w:pPr>
      <w:r>
        <w:rPr>
          <w:rFonts w:ascii="Bookman Old Style" w:hAnsi="Bookman Old Style" w:cs="Bookman Old Style"/>
          <w:sz w:val="22"/>
        </w:rPr>
        <w:t>This limited integration creates a gap between students' cultural realities and formal learning, making it less contextual and unintentionally positioning local languages and cultures as marginal compared to national or global languages.</w:t>
      </w:r>
    </w:p>
    <w:p w14:paraId="48154F06" w14:textId="77777777" w:rsidR="00450D29" w:rsidRDefault="00000000">
      <w:pPr>
        <w:spacing w:line="276" w:lineRule="auto"/>
        <w:ind w:firstLine="720"/>
        <w:jc w:val="both"/>
      </w:pPr>
      <w:r>
        <w:rPr>
          <w:rFonts w:ascii="Bookman Old Style" w:hAnsi="Bookman Old Style" w:cs="Bookman Old Style"/>
          <w:sz w:val="22"/>
        </w:rPr>
        <w:t>Local wisdom refers to community-based knowledge, values, norms, oral traditions, and ways of life sustained within local communities. In language education it can be integrated through folktales, proverbs, traditional songs, and community narratives — resources that can support students' literacy, intercultural awareness, and communicative competence.</w:t>
      </w:r>
    </w:p>
    <w:p w14:paraId="74857351" w14:textId="77777777" w:rsidR="00450D29" w:rsidRDefault="00000000">
      <w:pPr>
        <w:spacing w:line="276" w:lineRule="auto"/>
        <w:ind w:firstLine="720"/>
        <w:jc w:val="both"/>
      </w:pPr>
      <w:r>
        <w:rPr>
          <w:rFonts w:ascii="Bookman Old Style" w:hAnsi="Bookman Old Style" w:cs="Bookman Old Style"/>
          <w:sz w:val="22"/>
        </w:rPr>
        <w:t>This integration is supported by culturally responsive teaching, which uses students' cultural knowledge to make learning more relevant (Gay, 2002) and should support academic success, cultural competence, and critical consciousness (Ladson-Billings, 1995), extended by culturally sustaining pedagogy's argument that education should sustain linguistic and cultural pluralism (Paris, 2012).</w:t>
      </w:r>
    </w:p>
    <w:p w14:paraId="3EA5D7F9" w14:textId="77777777" w:rsidR="00450D29" w:rsidRDefault="00000000">
      <w:pPr>
        <w:spacing w:line="276" w:lineRule="auto"/>
        <w:ind w:firstLine="720"/>
        <w:jc w:val="both"/>
      </w:pPr>
      <w:r>
        <w:rPr>
          <w:rFonts w:ascii="Bookman Old Style" w:hAnsi="Bookman Old Style" w:cs="Bookman Old Style"/>
          <w:sz w:val="22"/>
        </w:rPr>
        <w:t>It also aligns with translanguaging pedagogy, in which flexible bilingual practices support learning in multilingual classrooms (Creese &amp; Blackledge, 2010) and multilingual speakers negotiate meaning across social repertoires (Canagarajah, 2013) — so local-language use should not be seen as interference but as a resource for deeper meaning-making.</w:t>
      </w:r>
    </w:p>
    <w:p w14:paraId="7B5B345C" w14:textId="77777777" w:rsidR="00450D29" w:rsidRDefault="00000000">
      <w:pPr>
        <w:spacing w:line="276" w:lineRule="auto"/>
        <w:ind w:firstLine="720"/>
        <w:jc w:val="both"/>
      </w:pPr>
      <w:r>
        <w:rPr>
          <w:rFonts w:ascii="Bookman Old Style" w:hAnsi="Bookman Old Style" w:cs="Bookman Old Style"/>
          <w:sz w:val="22"/>
        </w:rPr>
        <w:t>Integrating local wisdom is not simple, however: used only as decoration it may result in tokenism, whereas integrating it through reading, speaking, writing, and assessment can strengthen both linguistic and cultural learning.</w:t>
      </w:r>
    </w:p>
    <w:p w14:paraId="74F4A382" w14:textId="77777777" w:rsidR="00450D29" w:rsidRDefault="00000000">
      <w:pPr>
        <w:spacing w:line="276" w:lineRule="auto"/>
        <w:ind w:firstLine="720"/>
        <w:jc w:val="both"/>
      </w:pPr>
      <w:r>
        <w:rPr>
          <w:rFonts w:ascii="Bookman Old Style" w:hAnsi="Bookman Old Style" w:cs="Bookman Old Style"/>
          <w:sz w:val="22"/>
        </w:rPr>
        <w:t xml:space="preserve">Previous studies have examined culturally responsive pedagogy and textbook representation, but empirical studies combining quantitative and qualitative evidence on teachers' strategies for integrating local wisdom remain limited. This study uses a mixed-method design to address: (1) What pedagogical strategies do teachers use to integrate local wisdom? (2) How are </w:t>
      </w:r>
      <w:r>
        <w:rPr>
          <w:rFonts w:ascii="Bookman Old Style" w:hAnsi="Bookman Old Style" w:cs="Bookman Old Style"/>
          <w:sz w:val="22"/>
        </w:rPr>
        <w:lastRenderedPageBreak/>
        <w:t>these strategies related to engagement and intercultural awareness? (3) What challenges do teachers face?</w:t>
      </w:r>
    </w:p>
    <w:p w14:paraId="68319641" w14:textId="77777777" w:rsidR="00450D29" w:rsidRDefault="00000000">
      <w:pPr>
        <w:pStyle w:val="DaftarParagraf"/>
        <w:keepNext/>
        <w:spacing w:before="200" w:after="0"/>
        <w:ind w:left="0"/>
        <w:jc w:val="both"/>
      </w:pPr>
      <w:r>
        <w:rPr>
          <w:rFonts w:ascii="Bookman Old Style" w:hAnsi="Bookman Old Style" w:cs="Bookman Old Style"/>
          <w:b/>
        </w:rPr>
        <w:t>B. Method</w:t>
      </w:r>
    </w:p>
    <w:p w14:paraId="515E2855" w14:textId="77777777" w:rsidR="00450D29" w:rsidRDefault="00000000">
      <w:pPr>
        <w:spacing w:line="276" w:lineRule="auto"/>
        <w:ind w:firstLine="720"/>
        <w:jc w:val="both"/>
      </w:pPr>
      <w:r>
        <w:rPr>
          <w:rFonts w:ascii="Bookman Old Style" w:hAnsi="Bookman Old Style" w:cs="Bookman Old Style"/>
          <w:sz w:val="22"/>
        </w:rPr>
        <w:t>This study employed a mixed-method convergent parallel design: quantitative and qualitative data were collected within the same phase, analyzed separately, and integrated at interpretation. The quantitative component identified dominant strategies and their relationship with engagement and intercultural awareness; the qualitative component explored how teachers designed and reflected on local wisdom-based learning — appropriate when both numerical tendencies and contextual explanation are needed (Johnson &amp; Onwuegbuzie, 2004; Fetters, Curry, &amp; Creswell, 2013).</w:t>
      </w:r>
    </w:p>
    <w:p w14:paraId="243E3439" w14:textId="77777777" w:rsidR="00450D29" w:rsidRDefault="00000000">
      <w:pPr>
        <w:spacing w:line="276" w:lineRule="auto"/>
        <w:ind w:firstLine="720"/>
        <w:jc w:val="both"/>
      </w:pPr>
      <w:r>
        <w:rPr>
          <w:rFonts w:ascii="Bookman Old Style" w:hAnsi="Bookman Old Style" w:cs="Bookman Old Style"/>
          <w:sz w:val="22"/>
        </w:rPr>
        <w:t>The study was conducted in eight multilingual school contexts. The quantitative sample included 48 language teachers and 192 students; the qualitative sample included 12 teachers selected purposively for their experience integrating local culture. In addition, 8 classroom observations and 24 teaching documents were analyzed for richer information.</w:t>
      </w:r>
    </w:p>
    <w:p w14:paraId="01664567" w14:textId="77777777" w:rsidR="00450D29" w:rsidRDefault="00000000">
      <w:pPr>
        <w:spacing w:line="276" w:lineRule="auto"/>
        <w:ind w:firstLine="720"/>
        <w:jc w:val="both"/>
      </w:pPr>
      <w:r>
        <w:rPr>
          <w:rFonts w:ascii="Bookman Old Style" w:hAnsi="Bookman Old Style" w:cs="Bookman Old Style"/>
          <w:sz w:val="22"/>
        </w:rPr>
        <w:t>Four instruments were used: a teacher questionnaire measuring frequency of local wisdom integration across six dimensions on a five-point Likert scale; a student questionnaire measuring engagement and intercultural awareness; semi-structured teacher interviews; and classroom observation sheets and document analysis.</w:t>
      </w:r>
    </w:p>
    <w:p w14:paraId="4B8139F6" w14:textId="77777777" w:rsidR="00450D29" w:rsidRDefault="00000000">
      <w:pPr>
        <w:spacing w:line="276" w:lineRule="auto"/>
        <w:ind w:firstLine="720"/>
        <w:jc w:val="both"/>
      </w:pPr>
      <w:r>
        <w:rPr>
          <w:rFonts w:ascii="Bookman Old Style" w:hAnsi="Bookman Old Style" w:cs="Bookman Old Style"/>
          <w:sz w:val="22"/>
        </w:rPr>
        <w:t>Reliability was acceptable: Cronbach's alpha was 0.89 for the teacher questionnaire, 0.86 for the student engagement scale, and 0.88 for the intercultural awareness scale, with the interview guide validated through expert review.</w:t>
      </w:r>
    </w:p>
    <w:p w14:paraId="37997F64" w14:textId="77777777" w:rsidR="00450D29" w:rsidRDefault="00000000">
      <w:pPr>
        <w:spacing w:line="276" w:lineRule="auto"/>
        <w:ind w:firstLine="720"/>
        <w:jc w:val="both"/>
      </w:pPr>
      <w:r>
        <w:rPr>
          <w:rFonts w:ascii="Bookman Old Style" w:hAnsi="Bookman Old Style" w:cs="Bookman Old Style"/>
          <w:sz w:val="22"/>
        </w:rPr>
        <w:t>Quantitative data were analyzed using descriptive statistics and correlation analysis; qualitative data were analyzed thematically and compared with quantitative findings to identify convergence, complementarity, and divergence.</w:t>
      </w:r>
    </w:p>
    <w:p w14:paraId="16B8E949" w14:textId="77777777" w:rsidR="00450D29" w:rsidRDefault="00000000">
      <w:pPr>
        <w:spacing w:line="276" w:lineRule="auto"/>
        <w:ind w:firstLine="720"/>
        <w:jc w:val="both"/>
      </w:pPr>
      <w:r>
        <w:rPr>
          <w:rFonts w:ascii="Bookman Old Style" w:hAnsi="Bookman Old Style" w:cs="Bookman Old Style"/>
          <w:sz w:val="22"/>
        </w:rPr>
        <w:t xml:space="preserve">Integration occurred at the interpretation stage, with quantitative findings identifying general patterns and qualitative findings explaining how and why they occurred. Trustworthiness was supported through triangulation and member checking; ethical </w:t>
      </w:r>
      <w:r>
        <w:rPr>
          <w:rFonts w:ascii="Bookman Old Style" w:hAnsi="Bookman Old Style" w:cs="Bookman Old Style"/>
          <w:sz w:val="22"/>
        </w:rPr>
        <w:lastRenderedPageBreak/>
        <w:t>considerations included participant consent, confidentiality, and academic-only data use.</w:t>
      </w:r>
    </w:p>
    <w:p w14:paraId="4EDA53B6" w14:textId="77777777" w:rsidR="00450D29" w:rsidRDefault="00000000">
      <w:pPr>
        <w:pStyle w:val="DaftarParagraf"/>
        <w:keepNext/>
        <w:spacing w:before="200" w:after="0"/>
        <w:ind w:left="0"/>
        <w:jc w:val="both"/>
      </w:pPr>
      <w:r>
        <w:rPr>
          <w:rFonts w:ascii="Bookman Old Style" w:hAnsi="Bookman Old Style" w:cs="Bookman Old Style"/>
          <w:b/>
        </w:rPr>
        <w:t>C. Finding and Discussion</w:t>
      </w:r>
    </w:p>
    <w:p w14:paraId="28CA3DD1" w14:textId="77777777" w:rsidR="00450D29" w:rsidRDefault="00000000">
      <w:pPr>
        <w:keepNext/>
        <w:spacing w:before="200" w:line="276" w:lineRule="auto"/>
      </w:pPr>
      <w:r>
        <w:rPr>
          <w:rFonts w:ascii="Bookman Old Style" w:hAnsi="Bookman Old Style" w:cs="Bookman Old Style"/>
          <w:b/>
          <w:sz w:val="22"/>
        </w:rPr>
        <w:t>1. Finding</w:t>
      </w:r>
    </w:p>
    <w:p w14:paraId="71B24673" w14:textId="77777777" w:rsidR="00450D29" w:rsidRDefault="00000000">
      <w:pPr>
        <w:spacing w:line="276" w:lineRule="auto"/>
        <w:ind w:firstLine="720"/>
        <w:jc w:val="both"/>
      </w:pPr>
      <w:r>
        <w:rPr>
          <w:rFonts w:ascii="Bookman Old Style" w:hAnsi="Bookman Old Style" w:cs="Bookman Old Style"/>
          <w:sz w:val="22"/>
        </w:rPr>
        <w:t>The findings are presented in three parts. The first part describes teachers’ pedagogical strategies for integrating local wisdom into language education. The second part explains the relationship between local wisdom-based strategies, student engagement, and intercultural awareness. The third part presents qualitative themes related to implementation benefits and challenges.</w:t>
      </w:r>
    </w:p>
    <w:p w14:paraId="5F45AD93" w14:textId="77777777" w:rsidR="00450D29" w:rsidRDefault="00000000">
      <w:pPr>
        <w:keepNext/>
        <w:spacing w:before="200" w:line="276" w:lineRule="auto"/>
      </w:pPr>
      <w:r>
        <w:rPr>
          <w:rFonts w:ascii="Bookman Old Style" w:hAnsi="Bookman Old Style" w:cs="Bookman Old Style"/>
          <w:b/>
          <w:sz w:val="22"/>
        </w:rPr>
        <w:t>Teachers’ Use of Local Wisdom-Based Pedagogical Strategies</w:t>
      </w:r>
    </w:p>
    <w:p w14:paraId="0F20CDBA" w14:textId="77777777" w:rsidR="00450D29" w:rsidRDefault="00000000">
      <w:pPr>
        <w:spacing w:line="276" w:lineRule="auto"/>
        <w:ind w:firstLine="720"/>
        <w:jc w:val="both"/>
      </w:pPr>
      <w:r>
        <w:rPr>
          <w:rFonts w:ascii="Bookman Old Style" w:hAnsi="Bookman Old Style" w:cs="Bookman Old Style"/>
          <w:sz w:val="22"/>
        </w:rPr>
        <w:t>The quantitative data showed teachers used several strategies. The most frequent was contextualizing teaching materials with local cultural content; the second most frequent was local narratives and oral traditions — folktales, legends, proverbs, and songs used to teach reading, speaking, and writing.</w:t>
      </w:r>
    </w:p>
    <w:p w14:paraId="78810C91" w14:textId="77777777" w:rsidR="00450D29" w:rsidRDefault="00000000">
      <w:pPr>
        <w:spacing w:line="276" w:lineRule="auto"/>
        <w:ind w:firstLine="720"/>
        <w:jc w:val="both"/>
      </w:pPr>
      <w:r>
        <w:rPr>
          <w:rFonts w:ascii="Bookman Old Style" w:hAnsi="Bookman Old Style" w:cs="Bookman Old Style"/>
          <w:sz w:val="22"/>
        </w:rPr>
        <w:t>Translanguaging practices were also used, with variation across teachers, while reflective intercultural assessment received the lowest score, indicating inconsistent assessment of cultural interpretation.</w:t>
      </w:r>
    </w:p>
    <w:p w14:paraId="09CC1921" w14:textId="77777777" w:rsidR="00450D29" w:rsidRDefault="00000000">
      <w:pPr>
        <w:keepNext/>
        <w:spacing w:before="100" w:line="276" w:lineRule="auto"/>
      </w:pPr>
      <w:r>
        <w:rPr>
          <w:rFonts w:ascii="Bookman Old Style" w:hAnsi="Bookman Old Style" w:cs="Bookman Old Style"/>
          <w:sz w:val="22"/>
        </w:rPr>
        <w:t>Table 1. Teachers’ Pedagogical Strategies for Integrating Local Wisdom</w:t>
      </w:r>
    </w:p>
    <w:tbl>
      <w:tblPr>
        <w:tblW w:w="0" w:type="auto"/>
        <w:jc w:val="center"/>
        <w:tblCellMar>
          <w:top w:w="20" w:type="dxa"/>
          <w:left w:w="80" w:type="dxa"/>
          <w:bottom w:w="20" w:type="dxa"/>
          <w:right w:w="80" w:type="dxa"/>
        </w:tblCellMar>
        <w:tblLook w:val="04A0" w:firstRow="1" w:lastRow="0" w:firstColumn="1" w:lastColumn="0" w:noHBand="0" w:noVBand="1"/>
      </w:tblPr>
      <w:tblGrid>
        <w:gridCol w:w="1363"/>
        <w:gridCol w:w="1637"/>
        <w:gridCol w:w="1387"/>
        <w:gridCol w:w="1374"/>
        <w:gridCol w:w="1496"/>
      </w:tblGrid>
      <w:tr w:rsidR="00450D29" w14:paraId="5711DBD5" w14:textId="77777777">
        <w:trPr>
          <w:jc w:val="center"/>
        </w:trPr>
        <w:tc>
          <w:tcPr>
            <w:tcW w:w="1485" w:type="dxa"/>
            <w:tcBorders>
              <w:top w:val="single" w:sz="4" w:space="0" w:color="000000"/>
              <w:left w:val="nil"/>
              <w:bottom w:val="single" w:sz="4" w:space="0" w:color="000000"/>
              <w:right w:val="nil"/>
            </w:tcBorders>
          </w:tcPr>
          <w:p w14:paraId="75ECC39A" w14:textId="77777777" w:rsidR="00450D29" w:rsidRDefault="00000000">
            <w:pPr>
              <w:spacing w:line="276" w:lineRule="auto"/>
              <w:jc w:val="center"/>
            </w:pPr>
            <w:r>
              <w:rPr>
                <w:rFonts w:ascii="Bookman Old Style" w:hAnsi="Bookman Old Style" w:cs="Bookman Old Style"/>
                <w:b/>
                <w:sz w:val="18"/>
              </w:rPr>
              <w:t>No.</w:t>
            </w:r>
          </w:p>
        </w:tc>
        <w:tc>
          <w:tcPr>
            <w:tcW w:w="1485" w:type="dxa"/>
            <w:tcBorders>
              <w:top w:val="single" w:sz="4" w:space="0" w:color="000000"/>
              <w:left w:val="nil"/>
              <w:bottom w:val="single" w:sz="4" w:space="0" w:color="000000"/>
              <w:right w:val="nil"/>
            </w:tcBorders>
          </w:tcPr>
          <w:p w14:paraId="1718E921" w14:textId="77777777" w:rsidR="00450D29" w:rsidRDefault="00000000">
            <w:pPr>
              <w:spacing w:line="276" w:lineRule="auto"/>
              <w:jc w:val="center"/>
            </w:pPr>
            <w:r>
              <w:rPr>
                <w:rFonts w:ascii="Bookman Old Style" w:hAnsi="Bookman Old Style" w:cs="Bookman Old Style"/>
                <w:b/>
                <w:sz w:val="18"/>
              </w:rPr>
              <w:t>Strategy</w:t>
            </w:r>
          </w:p>
        </w:tc>
        <w:tc>
          <w:tcPr>
            <w:tcW w:w="1485" w:type="dxa"/>
            <w:tcBorders>
              <w:top w:val="single" w:sz="4" w:space="0" w:color="000000"/>
              <w:left w:val="nil"/>
              <w:bottom w:val="single" w:sz="4" w:space="0" w:color="000000"/>
              <w:right w:val="nil"/>
            </w:tcBorders>
          </w:tcPr>
          <w:p w14:paraId="31B445F8" w14:textId="77777777" w:rsidR="00450D29" w:rsidRDefault="00000000">
            <w:pPr>
              <w:spacing w:line="276" w:lineRule="auto"/>
              <w:jc w:val="center"/>
            </w:pPr>
            <w:r>
              <w:rPr>
                <w:rFonts w:ascii="Bookman Old Style" w:hAnsi="Bookman Old Style" w:cs="Bookman Old Style"/>
                <w:b/>
                <w:sz w:val="18"/>
              </w:rPr>
              <w:t>Mean</w:t>
            </w:r>
          </w:p>
        </w:tc>
        <w:tc>
          <w:tcPr>
            <w:tcW w:w="1485" w:type="dxa"/>
            <w:tcBorders>
              <w:top w:val="single" w:sz="4" w:space="0" w:color="000000"/>
              <w:left w:val="nil"/>
              <w:bottom w:val="single" w:sz="4" w:space="0" w:color="000000"/>
              <w:right w:val="nil"/>
            </w:tcBorders>
          </w:tcPr>
          <w:p w14:paraId="6BED10A9" w14:textId="77777777" w:rsidR="00450D29" w:rsidRDefault="00000000">
            <w:pPr>
              <w:spacing w:line="276" w:lineRule="auto"/>
              <w:jc w:val="center"/>
            </w:pPr>
            <w:r>
              <w:rPr>
                <w:rFonts w:ascii="Bookman Old Style" w:hAnsi="Bookman Old Style" w:cs="Bookman Old Style"/>
                <w:b/>
                <w:sz w:val="18"/>
              </w:rPr>
              <w:t>SD</w:t>
            </w:r>
          </w:p>
        </w:tc>
        <w:tc>
          <w:tcPr>
            <w:tcW w:w="1485" w:type="dxa"/>
            <w:tcBorders>
              <w:top w:val="single" w:sz="4" w:space="0" w:color="000000"/>
              <w:left w:val="nil"/>
              <w:bottom w:val="single" w:sz="4" w:space="0" w:color="000000"/>
              <w:right w:val="nil"/>
            </w:tcBorders>
          </w:tcPr>
          <w:p w14:paraId="00A50DDF" w14:textId="77777777" w:rsidR="00450D29" w:rsidRDefault="00000000">
            <w:pPr>
              <w:spacing w:line="276" w:lineRule="auto"/>
              <w:jc w:val="center"/>
            </w:pPr>
            <w:r>
              <w:rPr>
                <w:rFonts w:ascii="Bookman Old Style" w:hAnsi="Bookman Old Style" w:cs="Bookman Old Style"/>
                <w:b/>
                <w:sz w:val="18"/>
              </w:rPr>
              <w:t>Interpretation</w:t>
            </w:r>
          </w:p>
        </w:tc>
      </w:tr>
      <w:tr w:rsidR="00450D29" w14:paraId="146BE3DF" w14:textId="77777777">
        <w:trPr>
          <w:jc w:val="center"/>
        </w:trPr>
        <w:tc>
          <w:tcPr>
            <w:tcW w:w="1485" w:type="dxa"/>
            <w:tcBorders>
              <w:top w:val="nil"/>
              <w:left w:val="nil"/>
              <w:bottom w:val="nil"/>
              <w:right w:val="nil"/>
            </w:tcBorders>
          </w:tcPr>
          <w:p w14:paraId="632B6095" w14:textId="77777777" w:rsidR="00450D29" w:rsidRDefault="00000000">
            <w:pPr>
              <w:spacing w:line="276" w:lineRule="auto"/>
            </w:pPr>
            <w:r>
              <w:rPr>
                <w:rFonts w:ascii="Bookman Old Style" w:hAnsi="Bookman Old Style" w:cs="Bookman Old Style"/>
                <w:sz w:val="18"/>
              </w:rPr>
              <w:t>1</w:t>
            </w:r>
          </w:p>
        </w:tc>
        <w:tc>
          <w:tcPr>
            <w:tcW w:w="1485" w:type="dxa"/>
            <w:tcBorders>
              <w:top w:val="nil"/>
              <w:left w:val="nil"/>
              <w:bottom w:val="nil"/>
              <w:right w:val="nil"/>
            </w:tcBorders>
          </w:tcPr>
          <w:p w14:paraId="12251025" w14:textId="77777777" w:rsidR="00450D29" w:rsidRDefault="00000000">
            <w:pPr>
              <w:spacing w:line="276" w:lineRule="auto"/>
            </w:pPr>
            <w:r>
              <w:rPr>
                <w:rFonts w:ascii="Bookman Old Style" w:hAnsi="Bookman Old Style" w:cs="Bookman Old Style"/>
                <w:sz w:val="18"/>
              </w:rPr>
              <w:t>Contextualized teaching materials</w:t>
            </w:r>
          </w:p>
        </w:tc>
        <w:tc>
          <w:tcPr>
            <w:tcW w:w="1485" w:type="dxa"/>
            <w:tcBorders>
              <w:top w:val="nil"/>
              <w:left w:val="nil"/>
              <w:bottom w:val="nil"/>
              <w:right w:val="nil"/>
            </w:tcBorders>
          </w:tcPr>
          <w:p w14:paraId="32E91104" w14:textId="77777777" w:rsidR="00450D29" w:rsidRDefault="00000000">
            <w:pPr>
              <w:spacing w:line="276" w:lineRule="auto"/>
            </w:pPr>
            <w:r>
              <w:rPr>
                <w:rFonts w:ascii="Bookman Old Style" w:hAnsi="Bookman Old Style" w:cs="Bookman Old Style"/>
                <w:sz w:val="18"/>
              </w:rPr>
              <w:t>4.32</w:t>
            </w:r>
          </w:p>
        </w:tc>
        <w:tc>
          <w:tcPr>
            <w:tcW w:w="1485" w:type="dxa"/>
            <w:tcBorders>
              <w:top w:val="nil"/>
              <w:left w:val="nil"/>
              <w:bottom w:val="nil"/>
              <w:right w:val="nil"/>
            </w:tcBorders>
          </w:tcPr>
          <w:p w14:paraId="323E9B6C" w14:textId="77777777" w:rsidR="00450D29" w:rsidRDefault="00000000">
            <w:pPr>
              <w:spacing w:line="276" w:lineRule="auto"/>
            </w:pPr>
            <w:r>
              <w:rPr>
                <w:rFonts w:ascii="Bookman Old Style" w:hAnsi="Bookman Old Style" w:cs="Bookman Old Style"/>
                <w:sz w:val="18"/>
              </w:rPr>
              <w:t>0.51</w:t>
            </w:r>
          </w:p>
        </w:tc>
        <w:tc>
          <w:tcPr>
            <w:tcW w:w="1485" w:type="dxa"/>
            <w:tcBorders>
              <w:top w:val="nil"/>
              <w:left w:val="nil"/>
              <w:bottom w:val="nil"/>
              <w:right w:val="nil"/>
            </w:tcBorders>
          </w:tcPr>
          <w:p w14:paraId="26DD5753" w14:textId="77777777" w:rsidR="00450D29" w:rsidRDefault="00000000">
            <w:pPr>
              <w:spacing w:line="276" w:lineRule="auto"/>
            </w:pPr>
            <w:r>
              <w:rPr>
                <w:rFonts w:ascii="Bookman Old Style" w:hAnsi="Bookman Old Style" w:cs="Bookman Old Style"/>
                <w:sz w:val="18"/>
              </w:rPr>
              <w:t>High</w:t>
            </w:r>
          </w:p>
        </w:tc>
      </w:tr>
      <w:tr w:rsidR="00450D29" w14:paraId="7E2982BB" w14:textId="77777777">
        <w:trPr>
          <w:jc w:val="center"/>
        </w:trPr>
        <w:tc>
          <w:tcPr>
            <w:tcW w:w="1485" w:type="dxa"/>
            <w:tcBorders>
              <w:top w:val="nil"/>
              <w:left w:val="nil"/>
              <w:bottom w:val="nil"/>
              <w:right w:val="nil"/>
            </w:tcBorders>
          </w:tcPr>
          <w:p w14:paraId="0A1197E4" w14:textId="77777777" w:rsidR="00450D29" w:rsidRDefault="00000000">
            <w:pPr>
              <w:spacing w:line="276" w:lineRule="auto"/>
            </w:pPr>
            <w:r>
              <w:rPr>
                <w:rFonts w:ascii="Bookman Old Style" w:hAnsi="Bookman Old Style" w:cs="Bookman Old Style"/>
                <w:sz w:val="18"/>
              </w:rPr>
              <w:t>2</w:t>
            </w:r>
          </w:p>
        </w:tc>
        <w:tc>
          <w:tcPr>
            <w:tcW w:w="1485" w:type="dxa"/>
            <w:tcBorders>
              <w:top w:val="nil"/>
              <w:left w:val="nil"/>
              <w:bottom w:val="nil"/>
              <w:right w:val="nil"/>
            </w:tcBorders>
          </w:tcPr>
          <w:p w14:paraId="5FFCA9F1" w14:textId="77777777" w:rsidR="00450D29" w:rsidRDefault="00000000">
            <w:pPr>
              <w:spacing w:line="276" w:lineRule="auto"/>
            </w:pPr>
            <w:r>
              <w:rPr>
                <w:rFonts w:ascii="Bookman Old Style" w:hAnsi="Bookman Old Style" w:cs="Bookman Old Style"/>
                <w:sz w:val="18"/>
              </w:rPr>
              <w:t>Local narratives and oral traditions</w:t>
            </w:r>
          </w:p>
        </w:tc>
        <w:tc>
          <w:tcPr>
            <w:tcW w:w="1485" w:type="dxa"/>
            <w:tcBorders>
              <w:top w:val="nil"/>
              <w:left w:val="nil"/>
              <w:bottom w:val="nil"/>
              <w:right w:val="nil"/>
            </w:tcBorders>
          </w:tcPr>
          <w:p w14:paraId="7B107184" w14:textId="77777777" w:rsidR="00450D29" w:rsidRDefault="00000000">
            <w:pPr>
              <w:spacing w:line="276" w:lineRule="auto"/>
            </w:pPr>
            <w:r>
              <w:rPr>
                <w:rFonts w:ascii="Bookman Old Style" w:hAnsi="Bookman Old Style" w:cs="Bookman Old Style"/>
                <w:sz w:val="18"/>
              </w:rPr>
              <w:t>4.15</w:t>
            </w:r>
          </w:p>
        </w:tc>
        <w:tc>
          <w:tcPr>
            <w:tcW w:w="1485" w:type="dxa"/>
            <w:tcBorders>
              <w:top w:val="nil"/>
              <w:left w:val="nil"/>
              <w:bottom w:val="nil"/>
              <w:right w:val="nil"/>
            </w:tcBorders>
          </w:tcPr>
          <w:p w14:paraId="40DFD588" w14:textId="77777777" w:rsidR="00450D29" w:rsidRDefault="00000000">
            <w:pPr>
              <w:spacing w:line="276" w:lineRule="auto"/>
            </w:pPr>
            <w:r>
              <w:rPr>
                <w:rFonts w:ascii="Bookman Old Style" w:hAnsi="Bookman Old Style" w:cs="Bookman Old Style"/>
                <w:sz w:val="18"/>
              </w:rPr>
              <w:t>0.57</w:t>
            </w:r>
          </w:p>
        </w:tc>
        <w:tc>
          <w:tcPr>
            <w:tcW w:w="1485" w:type="dxa"/>
            <w:tcBorders>
              <w:top w:val="nil"/>
              <w:left w:val="nil"/>
              <w:bottom w:val="nil"/>
              <w:right w:val="nil"/>
            </w:tcBorders>
          </w:tcPr>
          <w:p w14:paraId="660F908E" w14:textId="77777777" w:rsidR="00450D29" w:rsidRDefault="00000000">
            <w:pPr>
              <w:spacing w:line="276" w:lineRule="auto"/>
            </w:pPr>
            <w:r>
              <w:rPr>
                <w:rFonts w:ascii="Bookman Old Style" w:hAnsi="Bookman Old Style" w:cs="Bookman Old Style"/>
                <w:sz w:val="18"/>
              </w:rPr>
              <w:t>High</w:t>
            </w:r>
          </w:p>
        </w:tc>
      </w:tr>
      <w:tr w:rsidR="00450D29" w14:paraId="0A02E6F1" w14:textId="77777777">
        <w:trPr>
          <w:jc w:val="center"/>
        </w:trPr>
        <w:tc>
          <w:tcPr>
            <w:tcW w:w="1485" w:type="dxa"/>
            <w:tcBorders>
              <w:top w:val="nil"/>
              <w:left w:val="nil"/>
              <w:bottom w:val="nil"/>
              <w:right w:val="nil"/>
            </w:tcBorders>
          </w:tcPr>
          <w:p w14:paraId="19893666" w14:textId="77777777" w:rsidR="00450D29" w:rsidRDefault="00000000">
            <w:pPr>
              <w:spacing w:line="276" w:lineRule="auto"/>
            </w:pPr>
            <w:r>
              <w:rPr>
                <w:rFonts w:ascii="Bookman Old Style" w:hAnsi="Bookman Old Style" w:cs="Bookman Old Style"/>
                <w:sz w:val="18"/>
              </w:rPr>
              <w:t>3</w:t>
            </w:r>
          </w:p>
        </w:tc>
        <w:tc>
          <w:tcPr>
            <w:tcW w:w="1485" w:type="dxa"/>
            <w:tcBorders>
              <w:top w:val="nil"/>
              <w:left w:val="nil"/>
              <w:bottom w:val="nil"/>
              <w:right w:val="nil"/>
            </w:tcBorders>
          </w:tcPr>
          <w:p w14:paraId="3FF8A146" w14:textId="77777777" w:rsidR="00450D29" w:rsidRDefault="00000000">
            <w:pPr>
              <w:spacing w:line="276" w:lineRule="auto"/>
            </w:pPr>
            <w:r>
              <w:rPr>
                <w:rFonts w:ascii="Bookman Old Style" w:hAnsi="Bookman Old Style" w:cs="Bookman Old Style"/>
                <w:sz w:val="18"/>
              </w:rPr>
              <w:t>Cultural resource mapping</w:t>
            </w:r>
          </w:p>
        </w:tc>
        <w:tc>
          <w:tcPr>
            <w:tcW w:w="1485" w:type="dxa"/>
            <w:tcBorders>
              <w:top w:val="nil"/>
              <w:left w:val="nil"/>
              <w:bottom w:val="nil"/>
              <w:right w:val="nil"/>
            </w:tcBorders>
          </w:tcPr>
          <w:p w14:paraId="404FD970" w14:textId="77777777" w:rsidR="00450D29" w:rsidRDefault="00000000">
            <w:pPr>
              <w:spacing w:line="276" w:lineRule="auto"/>
            </w:pPr>
            <w:r>
              <w:rPr>
                <w:rFonts w:ascii="Bookman Old Style" w:hAnsi="Bookman Old Style" w:cs="Bookman Old Style"/>
                <w:sz w:val="18"/>
              </w:rPr>
              <w:t>3.82</w:t>
            </w:r>
          </w:p>
        </w:tc>
        <w:tc>
          <w:tcPr>
            <w:tcW w:w="1485" w:type="dxa"/>
            <w:tcBorders>
              <w:top w:val="nil"/>
              <w:left w:val="nil"/>
              <w:bottom w:val="nil"/>
              <w:right w:val="nil"/>
            </w:tcBorders>
          </w:tcPr>
          <w:p w14:paraId="525583D0" w14:textId="77777777" w:rsidR="00450D29" w:rsidRDefault="00000000">
            <w:pPr>
              <w:spacing w:line="276" w:lineRule="auto"/>
            </w:pPr>
            <w:r>
              <w:rPr>
                <w:rFonts w:ascii="Bookman Old Style" w:hAnsi="Bookman Old Style" w:cs="Bookman Old Style"/>
                <w:sz w:val="18"/>
              </w:rPr>
              <w:t>0.66</w:t>
            </w:r>
          </w:p>
        </w:tc>
        <w:tc>
          <w:tcPr>
            <w:tcW w:w="1485" w:type="dxa"/>
            <w:tcBorders>
              <w:top w:val="nil"/>
              <w:left w:val="nil"/>
              <w:bottom w:val="nil"/>
              <w:right w:val="nil"/>
            </w:tcBorders>
          </w:tcPr>
          <w:p w14:paraId="35AEB282" w14:textId="77777777" w:rsidR="00450D29" w:rsidRDefault="00000000">
            <w:pPr>
              <w:spacing w:line="276" w:lineRule="auto"/>
            </w:pPr>
            <w:r>
              <w:rPr>
                <w:rFonts w:ascii="Bookman Old Style" w:hAnsi="Bookman Old Style" w:cs="Bookman Old Style"/>
                <w:sz w:val="18"/>
              </w:rPr>
              <w:t>Moderate to high</w:t>
            </w:r>
          </w:p>
        </w:tc>
      </w:tr>
      <w:tr w:rsidR="00450D29" w14:paraId="55170F2B" w14:textId="77777777">
        <w:trPr>
          <w:jc w:val="center"/>
        </w:trPr>
        <w:tc>
          <w:tcPr>
            <w:tcW w:w="1485" w:type="dxa"/>
            <w:tcBorders>
              <w:top w:val="nil"/>
              <w:left w:val="nil"/>
              <w:bottom w:val="nil"/>
              <w:right w:val="nil"/>
            </w:tcBorders>
          </w:tcPr>
          <w:p w14:paraId="2C626A7E" w14:textId="77777777" w:rsidR="00450D29" w:rsidRDefault="00000000">
            <w:pPr>
              <w:spacing w:line="276" w:lineRule="auto"/>
            </w:pPr>
            <w:r>
              <w:rPr>
                <w:rFonts w:ascii="Bookman Old Style" w:hAnsi="Bookman Old Style" w:cs="Bookman Old Style"/>
                <w:sz w:val="18"/>
              </w:rPr>
              <w:t>4</w:t>
            </w:r>
          </w:p>
        </w:tc>
        <w:tc>
          <w:tcPr>
            <w:tcW w:w="1485" w:type="dxa"/>
            <w:tcBorders>
              <w:top w:val="nil"/>
              <w:left w:val="nil"/>
              <w:bottom w:val="nil"/>
              <w:right w:val="nil"/>
            </w:tcBorders>
          </w:tcPr>
          <w:p w14:paraId="569C2D6D" w14:textId="77777777" w:rsidR="00450D29" w:rsidRDefault="00000000">
            <w:pPr>
              <w:spacing w:line="276" w:lineRule="auto"/>
            </w:pPr>
            <w:r>
              <w:rPr>
                <w:rFonts w:ascii="Bookman Old Style" w:hAnsi="Bookman Old Style" w:cs="Bookman Old Style"/>
                <w:sz w:val="18"/>
              </w:rPr>
              <w:t>Translanguaging practices</w:t>
            </w:r>
          </w:p>
        </w:tc>
        <w:tc>
          <w:tcPr>
            <w:tcW w:w="1485" w:type="dxa"/>
            <w:tcBorders>
              <w:top w:val="nil"/>
              <w:left w:val="nil"/>
              <w:bottom w:val="nil"/>
              <w:right w:val="nil"/>
            </w:tcBorders>
          </w:tcPr>
          <w:p w14:paraId="40879DA4" w14:textId="77777777" w:rsidR="00450D29" w:rsidRDefault="00000000">
            <w:pPr>
              <w:spacing w:line="276" w:lineRule="auto"/>
            </w:pPr>
            <w:r>
              <w:rPr>
                <w:rFonts w:ascii="Bookman Old Style" w:hAnsi="Bookman Old Style" w:cs="Bookman Old Style"/>
                <w:sz w:val="18"/>
              </w:rPr>
              <w:t>3.64</w:t>
            </w:r>
          </w:p>
        </w:tc>
        <w:tc>
          <w:tcPr>
            <w:tcW w:w="1485" w:type="dxa"/>
            <w:tcBorders>
              <w:top w:val="nil"/>
              <w:left w:val="nil"/>
              <w:bottom w:val="nil"/>
              <w:right w:val="nil"/>
            </w:tcBorders>
          </w:tcPr>
          <w:p w14:paraId="2DB77DC3" w14:textId="77777777" w:rsidR="00450D29" w:rsidRDefault="00000000">
            <w:pPr>
              <w:spacing w:line="276" w:lineRule="auto"/>
            </w:pPr>
            <w:r>
              <w:rPr>
                <w:rFonts w:ascii="Bookman Old Style" w:hAnsi="Bookman Old Style" w:cs="Bookman Old Style"/>
                <w:sz w:val="18"/>
              </w:rPr>
              <w:t>0.71</w:t>
            </w:r>
          </w:p>
        </w:tc>
        <w:tc>
          <w:tcPr>
            <w:tcW w:w="1485" w:type="dxa"/>
            <w:tcBorders>
              <w:top w:val="nil"/>
              <w:left w:val="nil"/>
              <w:bottom w:val="nil"/>
              <w:right w:val="nil"/>
            </w:tcBorders>
          </w:tcPr>
          <w:p w14:paraId="73606BDE" w14:textId="77777777" w:rsidR="00450D29" w:rsidRDefault="00000000">
            <w:pPr>
              <w:spacing w:line="276" w:lineRule="auto"/>
            </w:pPr>
            <w:r>
              <w:rPr>
                <w:rFonts w:ascii="Bookman Old Style" w:hAnsi="Bookman Old Style" w:cs="Bookman Old Style"/>
                <w:sz w:val="18"/>
              </w:rPr>
              <w:t>Moderate</w:t>
            </w:r>
          </w:p>
        </w:tc>
      </w:tr>
      <w:tr w:rsidR="00450D29" w14:paraId="367FC0D0" w14:textId="77777777">
        <w:trPr>
          <w:jc w:val="center"/>
        </w:trPr>
        <w:tc>
          <w:tcPr>
            <w:tcW w:w="1485" w:type="dxa"/>
            <w:tcBorders>
              <w:top w:val="nil"/>
              <w:left w:val="nil"/>
              <w:bottom w:val="nil"/>
              <w:right w:val="nil"/>
            </w:tcBorders>
          </w:tcPr>
          <w:p w14:paraId="70ADD7A2" w14:textId="77777777" w:rsidR="00450D29" w:rsidRDefault="00000000">
            <w:pPr>
              <w:spacing w:line="276" w:lineRule="auto"/>
            </w:pPr>
            <w:r>
              <w:rPr>
                <w:rFonts w:ascii="Bookman Old Style" w:hAnsi="Bookman Old Style" w:cs="Bookman Old Style"/>
                <w:sz w:val="18"/>
              </w:rPr>
              <w:lastRenderedPageBreak/>
              <w:t>5</w:t>
            </w:r>
          </w:p>
        </w:tc>
        <w:tc>
          <w:tcPr>
            <w:tcW w:w="1485" w:type="dxa"/>
            <w:tcBorders>
              <w:top w:val="nil"/>
              <w:left w:val="nil"/>
              <w:bottom w:val="nil"/>
              <w:right w:val="nil"/>
            </w:tcBorders>
          </w:tcPr>
          <w:p w14:paraId="58365B16" w14:textId="77777777" w:rsidR="00450D29" w:rsidRDefault="00000000">
            <w:pPr>
              <w:spacing w:line="276" w:lineRule="auto"/>
            </w:pPr>
            <w:r>
              <w:rPr>
                <w:rFonts w:ascii="Bookman Old Style" w:hAnsi="Bookman Old Style" w:cs="Bookman Old Style"/>
                <w:sz w:val="18"/>
              </w:rPr>
              <w:t>Community-based language tasks</w:t>
            </w:r>
          </w:p>
        </w:tc>
        <w:tc>
          <w:tcPr>
            <w:tcW w:w="1485" w:type="dxa"/>
            <w:tcBorders>
              <w:top w:val="nil"/>
              <w:left w:val="nil"/>
              <w:bottom w:val="nil"/>
              <w:right w:val="nil"/>
            </w:tcBorders>
          </w:tcPr>
          <w:p w14:paraId="385130C9" w14:textId="77777777" w:rsidR="00450D29" w:rsidRDefault="00000000">
            <w:pPr>
              <w:spacing w:line="276" w:lineRule="auto"/>
            </w:pPr>
            <w:r>
              <w:rPr>
                <w:rFonts w:ascii="Bookman Old Style" w:hAnsi="Bookman Old Style" w:cs="Bookman Old Style"/>
                <w:sz w:val="18"/>
              </w:rPr>
              <w:t>3.41</w:t>
            </w:r>
          </w:p>
        </w:tc>
        <w:tc>
          <w:tcPr>
            <w:tcW w:w="1485" w:type="dxa"/>
            <w:tcBorders>
              <w:top w:val="nil"/>
              <w:left w:val="nil"/>
              <w:bottom w:val="nil"/>
              <w:right w:val="nil"/>
            </w:tcBorders>
          </w:tcPr>
          <w:p w14:paraId="1DC96809" w14:textId="77777777" w:rsidR="00450D29" w:rsidRDefault="00000000">
            <w:pPr>
              <w:spacing w:line="276" w:lineRule="auto"/>
            </w:pPr>
            <w:r>
              <w:rPr>
                <w:rFonts w:ascii="Bookman Old Style" w:hAnsi="Bookman Old Style" w:cs="Bookman Old Style"/>
                <w:sz w:val="18"/>
              </w:rPr>
              <w:t>0.74</w:t>
            </w:r>
          </w:p>
        </w:tc>
        <w:tc>
          <w:tcPr>
            <w:tcW w:w="1485" w:type="dxa"/>
            <w:tcBorders>
              <w:top w:val="nil"/>
              <w:left w:val="nil"/>
              <w:bottom w:val="nil"/>
              <w:right w:val="nil"/>
            </w:tcBorders>
          </w:tcPr>
          <w:p w14:paraId="52A8F304" w14:textId="77777777" w:rsidR="00450D29" w:rsidRDefault="00000000">
            <w:pPr>
              <w:spacing w:line="276" w:lineRule="auto"/>
            </w:pPr>
            <w:r>
              <w:rPr>
                <w:rFonts w:ascii="Bookman Old Style" w:hAnsi="Bookman Old Style" w:cs="Bookman Old Style"/>
                <w:sz w:val="18"/>
              </w:rPr>
              <w:t>Moderate</w:t>
            </w:r>
          </w:p>
        </w:tc>
      </w:tr>
      <w:tr w:rsidR="00450D29" w14:paraId="26AD7702" w14:textId="77777777">
        <w:trPr>
          <w:jc w:val="center"/>
        </w:trPr>
        <w:tc>
          <w:tcPr>
            <w:tcW w:w="1485" w:type="dxa"/>
            <w:tcBorders>
              <w:top w:val="nil"/>
              <w:left w:val="nil"/>
              <w:bottom w:val="single" w:sz="4" w:space="0" w:color="000000"/>
              <w:right w:val="nil"/>
            </w:tcBorders>
          </w:tcPr>
          <w:p w14:paraId="5E14B5AA" w14:textId="77777777" w:rsidR="00450D29" w:rsidRDefault="00000000">
            <w:pPr>
              <w:spacing w:line="276" w:lineRule="auto"/>
            </w:pPr>
            <w:r>
              <w:rPr>
                <w:rFonts w:ascii="Bookman Old Style" w:hAnsi="Bookman Old Style" w:cs="Bookman Old Style"/>
                <w:sz w:val="18"/>
              </w:rPr>
              <w:t>6</w:t>
            </w:r>
          </w:p>
        </w:tc>
        <w:tc>
          <w:tcPr>
            <w:tcW w:w="1485" w:type="dxa"/>
            <w:tcBorders>
              <w:top w:val="nil"/>
              <w:left w:val="nil"/>
              <w:bottom w:val="single" w:sz="4" w:space="0" w:color="000000"/>
              <w:right w:val="nil"/>
            </w:tcBorders>
          </w:tcPr>
          <w:p w14:paraId="5B8A2D3F" w14:textId="77777777" w:rsidR="00450D29" w:rsidRDefault="00000000">
            <w:pPr>
              <w:spacing w:line="276" w:lineRule="auto"/>
            </w:pPr>
            <w:r>
              <w:rPr>
                <w:rFonts w:ascii="Bookman Old Style" w:hAnsi="Bookman Old Style" w:cs="Bookman Old Style"/>
                <w:sz w:val="18"/>
              </w:rPr>
              <w:t>Reflective intercultural assessment</w:t>
            </w:r>
          </w:p>
        </w:tc>
        <w:tc>
          <w:tcPr>
            <w:tcW w:w="1485" w:type="dxa"/>
            <w:tcBorders>
              <w:top w:val="nil"/>
              <w:left w:val="nil"/>
              <w:bottom w:val="single" w:sz="4" w:space="0" w:color="000000"/>
              <w:right w:val="nil"/>
            </w:tcBorders>
          </w:tcPr>
          <w:p w14:paraId="5EF6B8B4" w14:textId="77777777" w:rsidR="00450D29" w:rsidRDefault="00000000">
            <w:pPr>
              <w:spacing w:line="276" w:lineRule="auto"/>
            </w:pPr>
            <w:r>
              <w:rPr>
                <w:rFonts w:ascii="Bookman Old Style" w:hAnsi="Bookman Old Style" w:cs="Bookman Old Style"/>
                <w:sz w:val="18"/>
              </w:rPr>
              <w:t>3.08</w:t>
            </w:r>
          </w:p>
        </w:tc>
        <w:tc>
          <w:tcPr>
            <w:tcW w:w="1485" w:type="dxa"/>
            <w:tcBorders>
              <w:top w:val="nil"/>
              <w:left w:val="nil"/>
              <w:bottom w:val="single" w:sz="4" w:space="0" w:color="000000"/>
              <w:right w:val="nil"/>
            </w:tcBorders>
          </w:tcPr>
          <w:p w14:paraId="3A18C408" w14:textId="77777777" w:rsidR="00450D29" w:rsidRDefault="00000000">
            <w:pPr>
              <w:spacing w:line="276" w:lineRule="auto"/>
            </w:pPr>
            <w:r>
              <w:rPr>
                <w:rFonts w:ascii="Bookman Old Style" w:hAnsi="Bookman Old Style" w:cs="Bookman Old Style"/>
                <w:sz w:val="18"/>
              </w:rPr>
              <w:t>0.79</w:t>
            </w:r>
          </w:p>
        </w:tc>
        <w:tc>
          <w:tcPr>
            <w:tcW w:w="1485" w:type="dxa"/>
            <w:tcBorders>
              <w:top w:val="nil"/>
              <w:left w:val="nil"/>
              <w:bottom w:val="single" w:sz="4" w:space="0" w:color="000000"/>
              <w:right w:val="nil"/>
            </w:tcBorders>
          </w:tcPr>
          <w:p w14:paraId="63253D4C" w14:textId="77777777" w:rsidR="00450D29" w:rsidRDefault="00000000">
            <w:pPr>
              <w:spacing w:line="276" w:lineRule="auto"/>
            </w:pPr>
            <w:r>
              <w:rPr>
                <w:rFonts w:ascii="Bookman Old Style" w:hAnsi="Bookman Old Style" w:cs="Bookman Old Style"/>
                <w:sz w:val="18"/>
              </w:rPr>
              <w:t>Moderate to low</w:t>
            </w:r>
          </w:p>
        </w:tc>
      </w:tr>
    </w:tbl>
    <w:p w14:paraId="67BB5EDE" w14:textId="77777777" w:rsidR="00450D29" w:rsidRDefault="00000000">
      <w:pPr>
        <w:spacing w:line="276" w:lineRule="auto"/>
      </w:pPr>
      <w:r>
        <w:rPr>
          <w:rFonts w:ascii="Bookman Old Style" w:hAnsi="Bookman Old Style" w:cs="Bookman Old Style"/>
          <w:i/>
          <w:sz w:val="20"/>
        </w:rPr>
        <w:t>Source: Processed from teacher questionnaire data.</w:t>
      </w:r>
    </w:p>
    <w:p w14:paraId="1A334E02" w14:textId="77777777" w:rsidR="00450D29" w:rsidRDefault="00000000">
      <w:pPr>
        <w:spacing w:line="276" w:lineRule="auto"/>
        <w:ind w:firstLine="720"/>
        <w:jc w:val="both"/>
      </w:pPr>
      <w:r>
        <w:rPr>
          <w:rFonts w:ascii="Bookman Old Style" w:hAnsi="Bookman Old Style" w:cs="Bookman Old Style"/>
          <w:sz w:val="22"/>
        </w:rPr>
        <w:t>Descriptive statistics show contextualized teaching materials had the highest mean (M = 4.32), followed by local narratives and oral traditions (M = 4.15), while reflective intercultural assessment had the lowest mean (M = 3.08), indicating continued difficulty designing assessment tools for cultural interpretation.</w:t>
      </w:r>
    </w:p>
    <w:p w14:paraId="3D4450A8" w14:textId="77777777" w:rsidR="00450D29" w:rsidRDefault="00000000">
      <w:pPr>
        <w:spacing w:line="276" w:lineRule="auto"/>
        <w:ind w:firstLine="720"/>
        <w:jc w:val="both"/>
      </w:pPr>
      <w:r>
        <w:rPr>
          <w:rFonts w:ascii="Bookman Old Style" w:hAnsi="Bookman Old Style" w:cs="Bookman Old Style"/>
          <w:sz w:val="22"/>
        </w:rPr>
        <w:t>The qualitative data supported these tendencies: contextualized materials were easiest to implement since they could be inserted into existing lesson plans — describing local food in descriptive lessons, using folktales as reading material, or presenting local traditions in speaking lessons — connecting vocabulary with familiar local contexts.</w:t>
      </w:r>
    </w:p>
    <w:p w14:paraId="00D72423" w14:textId="77777777" w:rsidR="00450D29" w:rsidRDefault="00000000">
      <w:pPr>
        <w:keepNext/>
        <w:spacing w:before="200" w:line="276" w:lineRule="auto"/>
      </w:pPr>
      <w:r>
        <w:rPr>
          <w:rFonts w:ascii="Bookman Old Style" w:hAnsi="Bookman Old Style" w:cs="Bookman Old Style"/>
          <w:b/>
          <w:sz w:val="22"/>
        </w:rPr>
        <w:t>Cultural Resource Mapping as the Initial Strategy</w:t>
      </w:r>
    </w:p>
    <w:p w14:paraId="589203CB" w14:textId="77777777" w:rsidR="00450D29" w:rsidRDefault="00000000">
      <w:pPr>
        <w:spacing w:line="276" w:lineRule="auto"/>
        <w:ind w:firstLine="720"/>
        <w:jc w:val="both"/>
      </w:pPr>
      <w:r>
        <w:rPr>
          <w:rFonts w:ascii="Bookman Old Style" w:hAnsi="Bookman Old Style" w:cs="Bookman Old Style"/>
          <w:sz w:val="22"/>
        </w:rPr>
        <w:t>Cultural resource mapping appeared as an important initial strategy: teachers who implemented local wisdom-based instruction more systematically began by identifying relevant cultural resources — oral stories, traditional games, local ceremonies, culinary traditions, ecological practices — obtained from students, parents, and community members.</w:t>
      </w:r>
    </w:p>
    <w:p w14:paraId="74A85B9C" w14:textId="77777777" w:rsidR="00450D29" w:rsidRDefault="00000000">
      <w:pPr>
        <w:spacing w:line="276" w:lineRule="auto"/>
        <w:ind w:firstLine="720"/>
        <w:jc w:val="both"/>
      </w:pPr>
      <w:r>
        <w:rPr>
          <w:rFonts w:ascii="Bookman Old Style" w:hAnsi="Bookman Old Style" w:cs="Bookman Old Style"/>
          <w:sz w:val="22"/>
        </w:rPr>
        <w:t>In classroom practice, mapping was sometimes conducted as a learning activity itself: students interviewed family members or documented traditions, using language for questioning, describing, and presenting — so mapping supported both teacher preparation and students' language learning process.</w:t>
      </w:r>
    </w:p>
    <w:p w14:paraId="79CF654E" w14:textId="77777777" w:rsidR="00450D29" w:rsidRDefault="00000000">
      <w:pPr>
        <w:spacing w:line="276" w:lineRule="auto"/>
        <w:ind w:firstLine="720"/>
        <w:jc w:val="both"/>
      </w:pPr>
      <w:r>
        <w:rPr>
          <w:rFonts w:ascii="Bookman Old Style" w:hAnsi="Bookman Old Style" w:cs="Bookman Old Style"/>
          <w:sz w:val="22"/>
        </w:rPr>
        <w:t>Teachers considered mapping useful because it prevented random cultural insertion, making them more aware that local wisdom includes values such as mutual assistance, respect, and community solidarity — values then transformed into themes for reading, speaking, and writing tasks.</w:t>
      </w:r>
    </w:p>
    <w:p w14:paraId="246E6849" w14:textId="77777777" w:rsidR="00450D29" w:rsidRDefault="00000000">
      <w:pPr>
        <w:keepNext/>
        <w:spacing w:before="200" w:line="276" w:lineRule="auto"/>
      </w:pPr>
      <w:r>
        <w:rPr>
          <w:rFonts w:ascii="Bookman Old Style" w:hAnsi="Bookman Old Style" w:cs="Bookman Old Style"/>
          <w:b/>
          <w:sz w:val="22"/>
        </w:rPr>
        <w:lastRenderedPageBreak/>
        <w:t>Local Narratives and Oral Traditions in Literacy Learning</w:t>
      </w:r>
    </w:p>
    <w:p w14:paraId="3AA3713E" w14:textId="77777777" w:rsidR="00450D29" w:rsidRDefault="00000000">
      <w:pPr>
        <w:spacing w:line="276" w:lineRule="auto"/>
        <w:ind w:firstLine="720"/>
        <w:jc w:val="both"/>
      </w:pPr>
      <w:r>
        <w:rPr>
          <w:rFonts w:ascii="Bookman Old Style" w:hAnsi="Bookman Old Style" w:cs="Bookman Old Style"/>
          <w:sz w:val="22"/>
        </w:rPr>
        <w:t>Local narratives and oral traditions were widely used to support literacy learning — folktales, legends, proverbs, and songs as resources for reading comprehension, storytelling, vocabulary, and writing, with students identifying story structure, retelling stories, or adapting them into short narrative texts.</w:t>
      </w:r>
    </w:p>
    <w:p w14:paraId="2B3C1E42" w14:textId="77777777" w:rsidR="00450D29" w:rsidRDefault="00000000">
      <w:pPr>
        <w:spacing w:line="276" w:lineRule="auto"/>
        <w:ind w:firstLine="720"/>
        <w:jc w:val="both"/>
      </w:pPr>
      <w:r>
        <w:rPr>
          <w:rFonts w:ascii="Bookman Old Style" w:hAnsi="Bookman Old Style" w:cs="Bookman Old Style"/>
          <w:sz w:val="22"/>
        </w:rPr>
        <w:t>Observation data showed students participated more willingly when stories were familiar, contributing prior knowledge and comparing versions — making interaction more dialogic, with students negotiating meaning from their own cultural knowledge rather than merely answering teacher questions. Teachers also reported that narratives required careful adaptation, since some oral stories were too long, linguistically complex, or contained stereotypes needing simplification and critical mediation.</w:t>
      </w:r>
    </w:p>
    <w:p w14:paraId="3C618F70" w14:textId="77777777" w:rsidR="00450D29" w:rsidRDefault="00000000">
      <w:pPr>
        <w:keepNext/>
        <w:spacing w:before="200" w:line="276" w:lineRule="auto"/>
      </w:pPr>
      <w:r>
        <w:rPr>
          <w:rFonts w:ascii="Bookman Old Style" w:hAnsi="Bookman Old Style" w:cs="Bookman Old Style"/>
          <w:b/>
          <w:sz w:val="22"/>
        </w:rPr>
        <w:t>Translanguaging and Comparative Language Awareness</w:t>
      </w:r>
    </w:p>
    <w:p w14:paraId="05C87DC7" w14:textId="77777777" w:rsidR="00450D29" w:rsidRDefault="00000000">
      <w:pPr>
        <w:spacing w:line="276" w:lineRule="auto"/>
        <w:ind w:firstLine="720"/>
        <w:jc w:val="both"/>
      </w:pPr>
      <w:r>
        <w:rPr>
          <w:rFonts w:ascii="Bookman Old Style" w:hAnsi="Bookman Old Style" w:cs="Bookman Old Style"/>
          <w:sz w:val="22"/>
        </w:rPr>
        <w:t>Translanguaging was used to connect local language, Indonesian, and English, particularly when local cultural concepts lacked direct English equivalents — students compared local terms, Indonesian explanations, and English translations, for example creating bilingual glossaries of local cultural terms, which supported metalinguistic and intercultural understanding.</w:t>
      </w:r>
    </w:p>
    <w:p w14:paraId="778DF6B5" w14:textId="77777777" w:rsidR="00450D29" w:rsidRDefault="00000000">
      <w:pPr>
        <w:spacing w:line="276" w:lineRule="auto"/>
        <w:ind w:firstLine="720"/>
        <w:jc w:val="both"/>
      </w:pPr>
      <w:r>
        <w:rPr>
          <w:rFonts w:ascii="Bookman Old Style" w:hAnsi="Bookman Old Style" w:cs="Bookman Old Style"/>
          <w:sz w:val="22"/>
        </w:rPr>
        <w:t>Translanguaging also helped lower-proficiency students participate by expressing ideas in a familiar language before reformulating them, reducing anxiety — though teachers emphasized clear instructional boundaries so local-language support leads toward, rather than replaces, target-language production.</w:t>
      </w:r>
    </w:p>
    <w:p w14:paraId="1C3E7F88" w14:textId="77777777" w:rsidR="00450D29" w:rsidRDefault="00000000">
      <w:pPr>
        <w:keepNext/>
        <w:spacing w:before="200" w:line="276" w:lineRule="auto"/>
      </w:pPr>
      <w:r>
        <w:rPr>
          <w:rFonts w:ascii="Bookman Old Style" w:hAnsi="Bookman Old Style" w:cs="Bookman Old Style"/>
          <w:b/>
          <w:sz w:val="22"/>
        </w:rPr>
        <w:t>Local Wisdom-Based Strategies, Engagement, and Intercultural Awareness</w:t>
      </w:r>
    </w:p>
    <w:p w14:paraId="24AF4EF6" w14:textId="77777777" w:rsidR="00450D29" w:rsidRDefault="00000000">
      <w:pPr>
        <w:spacing w:line="276" w:lineRule="auto"/>
        <w:ind w:firstLine="720"/>
        <w:jc w:val="both"/>
      </w:pPr>
      <w:r>
        <w:rPr>
          <w:rFonts w:ascii="Bookman Old Style" w:hAnsi="Bookman Old Style" w:cs="Bookman Old Style"/>
          <w:sz w:val="22"/>
        </w:rPr>
        <w:t>The quantitative analysis indicated a positive relationship between local wisdom-based strategies and classroom engagement: teachers who frequently used contextualized materials, local narratives, and dialogic cultural tasks reported higher participation, and students felt more interested when lessons involved familiar cultural topics.</w:t>
      </w:r>
    </w:p>
    <w:p w14:paraId="747502F0" w14:textId="77777777" w:rsidR="00450D29" w:rsidRDefault="00000000">
      <w:pPr>
        <w:keepNext/>
        <w:spacing w:before="100" w:line="276" w:lineRule="auto"/>
      </w:pPr>
      <w:r>
        <w:rPr>
          <w:rFonts w:ascii="Bookman Old Style" w:hAnsi="Bookman Old Style" w:cs="Bookman Old Style"/>
          <w:sz w:val="22"/>
        </w:rPr>
        <w:lastRenderedPageBreak/>
        <w:t>Table 2. Relationship between Local Wisdom-Based Strategies and Student Learning Indicators</w:t>
      </w:r>
    </w:p>
    <w:tbl>
      <w:tblPr>
        <w:tblW w:w="0" w:type="auto"/>
        <w:jc w:val="center"/>
        <w:tblCellMar>
          <w:top w:w="20" w:type="dxa"/>
          <w:left w:w="80" w:type="dxa"/>
          <w:bottom w:w="20" w:type="dxa"/>
          <w:right w:w="80" w:type="dxa"/>
        </w:tblCellMar>
        <w:tblLook w:val="04A0" w:firstRow="1" w:lastRow="0" w:firstColumn="1" w:lastColumn="0" w:noHBand="0" w:noVBand="1"/>
      </w:tblPr>
      <w:tblGrid>
        <w:gridCol w:w="2430"/>
        <w:gridCol w:w="2412"/>
        <w:gridCol w:w="2415"/>
      </w:tblGrid>
      <w:tr w:rsidR="00450D29" w14:paraId="6787924E" w14:textId="77777777">
        <w:trPr>
          <w:jc w:val="center"/>
        </w:trPr>
        <w:tc>
          <w:tcPr>
            <w:tcW w:w="2476" w:type="dxa"/>
            <w:tcBorders>
              <w:top w:val="single" w:sz="4" w:space="0" w:color="000000"/>
              <w:left w:val="nil"/>
              <w:bottom w:val="single" w:sz="4" w:space="0" w:color="000000"/>
              <w:right w:val="nil"/>
            </w:tcBorders>
          </w:tcPr>
          <w:p w14:paraId="47FEADA5" w14:textId="77777777" w:rsidR="00450D29" w:rsidRDefault="00000000">
            <w:pPr>
              <w:spacing w:line="276" w:lineRule="auto"/>
              <w:jc w:val="center"/>
            </w:pPr>
            <w:r>
              <w:rPr>
                <w:rFonts w:ascii="Bookman Old Style" w:hAnsi="Bookman Old Style" w:cs="Bookman Old Style"/>
                <w:b/>
                <w:sz w:val="18"/>
              </w:rPr>
              <w:t>Variable</w:t>
            </w:r>
          </w:p>
        </w:tc>
        <w:tc>
          <w:tcPr>
            <w:tcW w:w="2476" w:type="dxa"/>
            <w:tcBorders>
              <w:top w:val="single" w:sz="4" w:space="0" w:color="000000"/>
              <w:left w:val="nil"/>
              <w:bottom w:val="single" w:sz="4" w:space="0" w:color="000000"/>
              <w:right w:val="nil"/>
            </w:tcBorders>
          </w:tcPr>
          <w:p w14:paraId="1058618B" w14:textId="77777777" w:rsidR="00450D29" w:rsidRDefault="00000000">
            <w:pPr>
              <w:spacing w:line="276" w:lineRule="auto"/>
              <w:jc w:val="center"/>
            </w:pPr>
            <w:r>
              <w:rPr>
                <w:rFonts w:ascii="Bookman Old Style" w:hAnsi="Bookman Old Style" w:cs="Bookman Old Style"/>
                <w:b/>
                <w:sz w:val="18"/>
              </w:rPr>
              <w:t>Student Engagement</w:t>
            </w:r>
          </w:p>
        </w:tc>
        <w:tc>
          <w:tcPr>
            <w:tcW w:w="2476" w:type="dxa"/>
            <w:tcBorders>
              <w:top w:val="single" w:sz="4" w:space="0" w:color="000000"/>
              <w:left w:val="nil"/>
              <w:bottom w:val="single" w:sz="4" w:space="0" w:color="000000"/>
              <w:right w:val="nil"/>
            </w:tcBorders>
          </w:tcPr>
          <w:p w14:paraId="29A2D9BB" w14:textId="77777777" w:rsidR="00450D29" w:rsidRDefault="00000000">
            <w:pPr>
              <w:spacing w:line="276" w:lineRule="auto"/>
              <w:jc w:val="center"/>
            </w:pPr>
            <w:r>
              <w:rPr>
                <w:rFonts w:ascii="Bookman Old Style" w:hAnsi="Bookman Old Style" w:cs="Bookman Old Style"/>
                <w:b/>
                <w:sz w:val="18"/>
              </w:rPr>
              <w:t>Intercultural Awareness</w:t>
            </w:r>
          </w:p>
        </w:tc>
      </w:tr>
      <w:tr w:rsidR="00450D29" w14:paraId="6297909B" w14:textId="77777777">
        <w:trPr>
          <w:jc w:val="center"/>
        </w:trPr>
        <w:tc>
          <w:tcPr>
            <w:tcW w:w="2476" w:type="dxa"/>
            <w:tcBorders>
              <w:top w:val="nil"/>
              <w:left w:val="nil"/>
              <w:bottom w:val="nil"/>
              <w:right w:val="nil"/>
            </w:tcBorders>
          </w:tcPr>
          <w:p w14:paraId="57049D17" w14:textId="77777777" w:rsidR="00450D29" w:rsidRDefault="00000000">
            <w:pPr>
              <w:spacing w:line="276" w:lineRule="auto"/>
            </w:pPr>
            <w:r>
              <w:rPr>
                <w:rFonts w:ascii="Bookman Old Style" w:hAnsi="Bookman Old Style" w:cs="Bookman Old Style"/>
                <w:sz w:val="18"/>
              </w:rPr>
              <w:t>Contextualized materials</w:t>
            </w:r>
          </w:p>
        </w:tc>
        <w:tc>
          <w:tcPr>
            <w:tcW w:w="2476" w:type="dxa"/>
            <w:tcBorders>
              <w:top w:val="nil"/>
              <w:left w:val="nil"/>
              <w:bottom w:val="nil"/>
              <w:right w:val="nil"/>
            </w:tcBorders>
          </w:tcPr>
          <w:p w14:paraId="670B64A1" w14:textId="77777777" w:rsidR="00450D29" w:rsidRDefault="00000000">
            <w:pPr>
              <w:spacing w:line="276" w:lineRule="auto"/>
            </w:pPr>
            <w:r>
              <w:rPr>
                <w:rFonts w:ascii="Bookman Old Style" w:hAnsi="Bookman Old Style" w:cs="Bookman Old Style"/>
                <w:sz w:val="18"/>
              </w:rPr>
              <w:t>0.52**</w:t>
            </w:r>
          </w:p>
        </w:tc>
        <w:tc>
          <w:tcPr>
            <w:tcW w:w="2476" w:type="dxa"/>
            <w:tcBorders>
              <w:top w:val="nil"/>
              <w:left w:val="nil"/>
              <w:bottom w:val="nil"/>
              <w:right w:val="nil"/>
            </w:tcBorders>
          </w:tcPr>
          <w:p w14:paraId="3B205632" w14:textId="77777777" w:rsidR="00450D29" w:rsidRDefault="00000000">
            <w:pPr>
              <w:spacing w:line="276" w:lineRule="auto"/>
            </w:pPr>
            <w:r>
              <w:rPr>
                <w:rFonts w:ascii="Bookman Old Style" w:hAnsi="Bookman Old Style" w:cs="Bookman Old Style"/>
                <w:sz w:val="18"/>
              </w:rPr>
              <w:t>0.47**</w:t>
            </w:r>
          </w:p>
        </w:tc>
      </w:tr>
      <w:tr w:rsidR="00450D29" w14:paraId="16D679D2" w14:textId="77777777">
        <w:trPr>
          <w:jc w:val="center"/>
        </w:trPr>
        <w:tc>
          <w:tcPr>
            <w:tcW w:w="2476" w:type="dxa"/>
            <w:tcBorders>
              <w:top w:val="nil"/>
              <w:left w:val="nil"/>
              <w:bottom w:val="nil"/>
              <w:right w:val="nil"/>
            </w:tcBorders>
          </w:tcPr>
          <w:p w14:paraId="6B937F58" w14:textId="77777777" w:rsidR="00450D29" w:rsidRDefault="00000000">
            <w:pPr>
              <w:spacing w:line="276" w:lineRule="auto"/>
            </w:pPr>
            <w:r>
              <w:rPr>
                <w:rFonts w:ascii="Bookman Old Style" w:hAnsi="Bookman Old Style" w:cs="Bookman Old Style"/>
                <w:sz w:val="18"/>
              </w:rPr>
              <w:t>Local narratives and oral traditions</w:t>
            </w:r>
          </w:p>
        </w:tc>
        <w:tc>
          <w:tcPr>
            <w:tcW w:w="2476" w:type="dxa"/>
            <w:tcBorders>
              <w:top w:val="nil"/>
              <w:left w:val="nil"/>
              <w:bottom w:val="nil"/>
              <w:right w:val="nil"/>
            </w:tcBorders>
          </w:tcPr>
          <w:p w14:paraId="14894889" w14:textId="77777777" w:rsidR="00450D29" w:rsidRDefault="00000000">
            <w:pPr>
              <w:spacing w:line="276" w:lineRule="auto"/>
            </w:pPr>
            <w:r>
              <w:rPr>
                <w:rFonts w:ascii="Bookman Old Style" w:hAnsi="Bookman Old Style" w:cs="Bookman Old Style"/>
                <w:sz w:val="18"/>
              </w:rPr>
              <w:t>0.49**</w:t>
            </w:r>
          </w:p>
        </w:tc>
        <w:tc>
          <w:tcPr>
            <w:tcW w:w="2476" w:type="dxa"/>
            <w:tcBorders>
              <w:top w:val="nil"/>
              <w:left w:val="nil"/>
              <w:bottom w:val="nil"/>
              <w:right w:val="nil"/>
            </w:tcBorders>
          </w:tcPr>
          <w:p w14:paraId="71B06318" w14:textId="77777777" w:rsidR="00450D29" w:rsidRDefault="00000000">
            <w:pPr>
              <w:spacing w:line="276" w:lineRule="auto"/>
            </w:pPr>
            <w:r>
              <w:rPr>
                <w:rFonts w:ascii="Bookman Old Style" w:hAnsi="Bookman Old Style" w:cs="Bookman Old Style"/>
                <w:sz w:val="18"/>
              </w:rPr>
              <w:t>0.55**</w:t>
            </w:r>
          </w:p>
        </w:tc>
      </w:tr>
      <w:tr w:rsidR="00450D29" w14:paraId="098F9485" w14:textId="77777777">
        <w:trPr>
          <w:jc w:val="center"/>
        </w:trPr>
        <w:tc>
          <w:tcPr>
            <w:tcW w:w="2476" w:type="dxa"/>
            <w:tcBorders>
              <w:top w:val="nil"/>
              <w:left w:val="nil"/>
              <w:bottom w:val="nil"/>
              <w:right w:val="nil"/>
            </w:tcBorders>
          </w:tcPr>
          <w:p w14:paraId="3D0C288F" w14:textId="77777777" w:rsidR="00450D29" w:rsidRDefault="00000000">
            <w:pPr>
              <w:spacing w:line="276" w:lineRule="auto"/>
            </w:pPr>
            <w:r>
              <w:rPr>
                <w:rFonts w:ascii="Bookman Old Style" w:hAnsi="Bookman Old Style" w:cs="Bookman Old Style"/>
                <w:sz w:val="18"/>
              </w:rPr>
              <w:t>Translanguaging practices</w:t>
            </w:r>
          </w:p>
        </w:tc>
        <w:tc>
          <w:tcPr>
            <w:tcW w:w="2476" w:type="dxa"/>
            <w:tcBorders>
              <w:top w:val="nil"/>
              <w:left w:val="nil"/>
              <w:bottom w:val="nil"/>
              <w:right w:val="nil"/>
            </w:tcBorders>
          </w:tcPr>
          <w:p w14:paraId="167CC36E" w14:textId="77777777" w:rsidR="00450D29" w:rsidRDefault="00000000">
            <w:pPr>
              <w:spacing w:line="276" w:lineRule="auto"/>
            </w:pPr>
            <w:r>
              <w:rPr>
                <w:rFonts w:ascii="Bookman Old Style" w:hAnsi="Bookman Old Style" w:cs="Bookman Old Style"/>
                <w:sz w:val="18"/>
              </w:rPr>
              <w:t>0.41**</w:t>
            </w:r>
          </w:p>
        </w:tc>
        <w:tc>
          <w:tcPr>
            <w:tcW w:w="2476" w:type="dxa"/>
            <w:tcBorders>
              <w:top w:val="nil"/>
              <w:left w:val="nil"/>
              <w:bottom w:val="nil"/>
              <w:right w:val="nil"/>
            </w:tcBorders>
          </w:tcPr>
          <w:p w14:paraId="4B61FF65" w14:textId="77777777" w:rsidR="00450D29" w:rsidRDefault="00000000">
            <w:pPr>
              <w:spacing w:line="276" w:lineRule="auto"/>
            </w:pPr>
            <w:r>
              <w:rPr>
                <w:rFonts w:ascii="Bookman Old Style" w:hAnsi="Bookman Old Style" w:cs="Bookman Old Style"/>
                <w:sz w:val="18"/>
              </w:rPr>
              <w:t>0.58**</w:t>
            </w:r>
          </w:p>
        </w:tc>
      </w:tr>
      <w:tr w:rsidR="00450D29" w14:paraId="5E69997C" w14:textId="77777777">
        <w:trPr>
          <w:jc w:val="center"/>
        </w:trPr>
        <w:tc>
          <w:tcPr>
            <w:tcW w:w="2476" w:type="dxa"/>
            <w:tcBorders>
              <w:top w:val="nil"/>
              <w:left w:val="nil"/>
              <w:bottom w:val="nil"/>
              <w:right w:val="nil"/>
            </w:tcBorders>
          </w:tcPr>
          <w:p w14:paraId="64416916" w14:textId="77777777" w:rsidR="00450D29" w:rsidRDefault="00000000">
            <w:pPr>
              <w:spacing w:line="276" w:lineRule="auto"/>
            </w:pPr>
            <w:r>
              <w:rPr>
                <w:rFonts w:ascii="Bookman Old Style" w:hAnsi="Bookman Old Style" w:cs="Bookman Old Style"/>
                <w:sz w:val="18"/>
              </w:rPr>
              <w:t>Community-based tasks</w:t>
            </w:r>
          </w:p>
        </w:tc>
        <w:tc>
          <w:tcPr>
            <w:tcW w:w="2476" w:type="dxa"/>
            <w:tcBorders>
              <w:top w:val="nil"/>
              <w:left w:val="nil"/>
              <w:bottom w:val="nil"/>
              <w:right w:val="nil"/>
            </w:tcBorders>
          </w:tcPr>
          <w:p w14:paraId="3C6968BA" w14:textId="77777777" w:rsidR="00450D29" w:rsidRDefault="00000000">
            <w:pPr>
              <w:spacing w:line="276" w:lineRule="auto"/>
            </w:pPr>
            <w:r>
              <w:rPr>
                <w:rFonts w:ascii="Bookman Old Style" w:hAnsi="Bookman Old Style" w:cs="Bookman Old Style"/>
                <w:sz w:val="18"/>
              </w:rPr>
              <w:t>0.44**</w:t>
            </w:r>
          </w:p>
        </w:tc>
        <w:tc>
          <w:tcPr>
            <w:tcW w:w="2476" w:type="dxa"/>
            <w:tcBorders>
              <w:top w:val="nil"/>
              <w:left w:val="nil"/>
              <w:bottom w:val="nil"/>
              <w:right w:val="nil"/>
            </w:tcBorders>
          </w:tcPr>
          <w:p w14:paraId="32E38B73" w14:textId="77777777" w:rsidR="00450D29" w:rsidRDefault="00000000">
            <w:pPr>
              <w:spacing w:line="276" w:lineRule="auto"/>
            </w:pPr>
            <w:r>
              <w:rPr>
                <w:rFonts w:ascii="Bookman Old Style" w:hAnsi="Bookman Old Style" w:cs="Bookman Old Style"/>
                <w:sz w:val="18"/>
              </w:rPr>
              <w:t>0.51**</w:t>
            </w:r>
          </w:p>
        </w:tc>
      </w:tr>
      <w:tr w:rsidR="00450D29" w14:paraId="10E8E4AE" w14:textId="77777777">
        <w:trPr>
          <w:jc w:val="center"/>
        </w:trPr>
        <w:tc>
          <w:tcPr>
            <w:tcW w:w="2476" w:type="dxa"/>
            <w:tcBorders>
              <w:top w:val="nil"/>
              <w:left w:val="nil"/>
              <w:bottom w:val="single" w:sz="4" w:space="0" w:color="000000"/>
              <w:right w:val="nil"/>
            </w:tcBorders>
          </w:tcPr>
          <w:p w14:paraId="14321AAB" w14:textId="77777777" w:rsidR="00450D29" w:rsidRDefault="00000000">
            <w:pPr>
              <w:spacing w:line="276" w:lineRule="auto"/>
            </w:pPr>
            <w:r>
              <w:rPr>
                <w:rFonts w:ascii="Bookman Old Style" w:hAnsi="Bookman Old Style" w:cs="Bookman Old Style"/>
                <w:sz w:val="18"/>
              </w:rPr>
              <w:t>Reflective assessment</w:t>
            </w:r>
          </w:p>
        </w:tc>
        <w:tc>
          <w:tcPr>
            <w:tcW w:w="2476" w:type="dxa"/>
            <w:tcBorders>
              <w:top w:val="nil"/>
              <w:left w:val="nil"/>
              <w:bottom w:val="single" w:sz="4" w:space="0" w:color="000000"/>
              <w:right w:val="nil"/>
            </w:tcBorders>
          </w:tcPr>
          <w:p w14:paraId="6135C5D2" w14:textId="77777777" w:rsidR="00450D29" w:rsidRDefault="00000000">
            <w:pPr>
              <w:spacing w:line="276" w:lineRule="auto"/>
            </w:pPr>
            <w:r>
              <w:rPr>
                <w:rFonts w:ascii="Bookman Old Style" w:hAnsi="Bookman Old Style" w:cs="Bookman Old Style"/>
                <w:sz w:val="18"/>
              </w:rPr>
              <w:t>0.38*</w:t>
            </w:r>
          </w:p>
        </w:tc>
        <w:tc>
          <w:tcPr>
            <w:tcW w:w="2476" w:type="dxa"/>
            <w:tcBorders>
              <w:top w:val="nil"/>
              <w:left w:val="nil"/>
              <w:bottom w:val="single" w:sz="4" w:space="0" w:color="000000"/>
              <w:right w:val="nil"/>
            </w:tcBorders>
          </w:tcPr>
          <w:p w14:paraId="66F2EFDD" w14:textId="77777777" w:rsidR="00450D29" w:rsidRDefault="00000000">
            <w:pPr>
              <w:spacing w:line="276" w:lineRule="auto"/>
            </w:pPr>
            <w:r>
              <w:rPr>
                <w:rFonts w:ascii="Bookman Old Style" w:hAnsi="Bookman Old Style" w:cs="Bookman Old Style"/>
                <w:sz w:val="18"/>
              </w:rPr>
              <w:t>0.62**</w:t>
            </w:r>
          </w:p>
        </w:tc>
      </w:tr>
    </w:tbl>
    <w:p w14:paraId="51999032" w14:textId="77777777" w:rsidR="00450D29" w:rsidRDefault="00000000">
      <w:pPr>
        <w:spacing w:line="276" w:lineRule="auto"/>
      </w:pPr>
      <w:r>
        <w:rPr>
          <w:rFonts w:ascii="Bookman Old Style" w:hAnsi="Bookman Old Style" w:cs="Bookman Old Style"/>
          <w:i/>
          <w:sz w:val="20"/>
        </w:rPr>
        <w:t>Source: Processed from teacher and student questionnaire data. Note: *p &lt; .05; **p &lt; .01.</w:t>
      </w:r>
    </w:p>
    <w:p w14:paraId="0B3DB5B8" w14:textId="77777777" w:rsidR="00450D29" w:rsidRDefault="00000000">
      <w:pPr>
        <w:spacing w:line="276" w:lineRule="auto"/>
        <w:ind w:firstLine="720"/>
        <w:jc w:val="both"/>
      </w:pPr>
      <w:r>
        <w:rPr>
          <w:rFonts w:ascii="Bookman Old Style" w:hAnsi="Bookman Old Style" w:cs="Bookman Old Style"/>
          <w:sz w:val="22"/>
        </w:rPr>
        <w:t>Contextualized materials correlated positively with student engagement (r = 0.52, p &lt; .01) and intercultural awareness (r = 0.47, p &lt; .01), as did local narratives (r = 0.49, p &lt; .01 and r = 0.55, p &lt; .01) — indicating that familiar content and stories helped students participate and reflect on cultural meanings.</w:t>
      </w:r>
    </w:p>
    <w:p w14:paraId="5971085E" w14:textId="77777777" w:rsidR="00450D29" w:rsidRDefault="00000000">
      <w:pPr>
        <w:spacing w:line="276" w:lineRule="auto"/>
        <w:ind w:firstLine="720"/>
        <w:jc w:val="both"/>
      </w:pPr>
      <w:r>
        <w:rPr>
          <w:rFonts w:ascii="Bookman Old Style" w:hAnsi="Bookman Old Style" w:cs="Bookman Old Style"/>
          <w:sz w:val="22"/>
        </w:rPr>
        <w:t>The strongest correlation with intercultural awareness was reflective assessment (r = 0.62, p &lt; .01), despite low frequency of use, and translanguaging also correlated positively with it (r = 0.58, p &lt; .01) — suggesting that cultural comparison and reflective tasks strengthen intercultural understanding.</w:t>
      </w:r>
    </w:p>
    <w:p w14:paraId="605AE4A6" w14:textId="77777777" w:rsidR="00450D29" w:rsidRDefault="00000000">
      <w:pPr>
        <w:spacing w:line="276" w:lineRule="auto"/>
        <w:ind w:firstLine="720"/>
        <w:jc w:val="both"/>
      </w:pPr>
      <w:r>
        <w:rPr>
          <w:rFonts w:ascii="Bookman Old Style" w:hAnsi="Bookman Old Style" w:cs="Bookman Old Style"/>
          <w:sz w:val="22"/>
        </w:rPr>
        <w:t>Qualitative findings explained this: students were more engaged because local topics were familiar and connected to everyday life, allowing them to speak from experience, and local wisdom-based tasks created opportunities to involve family and community members.</w:t>
      </w:r>
    </w:p>
    <w:p w14:paraId="1A02A0BB" w14:textId="77777777" w:rsidR="00450D29" w:rsidRDefault="00000000">
      <w:pPr>
        <w:spacing w:line="276" w:lineRule="auto"/>
        <w:ind w:firstLine="720"/>
        <w:jc w:val="both"/>
      </w:pPr>
      <w:r>
        <w:rPr>
          <w:rFonts w:ascii="Bookman Old Style" w:hAnsi="Bookman Old Style" w:cs="Bookman Old Style"/>
          <w:sz w:val="22"/>
        </w:rPr>
        <w:t>Intercultural awareness developed when teachers guided students to compare local, national, and global perspectives — local proverbs with English expressions, or traditional with modern practices — helping students see that cultures differ but can be discussed through language learning.</w:t>
      </w:r>
    </w:p>
    <w:p w14:paraId="71DCD30A" w14:textId="77777777" w:rsidR="00450D29" w:rsidRDefault="00000000">
      <w:pPr>
        <w:keepNext/>
        <w:spacing w:before="200" w:line="276" w:lineRule="auto"/>
      </w:pPr>
      <w:r>
        <w:rPr>
          <w:rFonts w:ascii="Bookman Old Style" w:hAnsi="Bookman Old Style" w:cs="Bookman Old Style"/>
          <w:b/>
          <w:sz w:val="22"/>
        </w:rPr>
        <w:t>Challenges Faced by Teachers</w:t>
      </w:r>
    </w:p>
    <w:p w14:paraId="3F990DCF" w14:textId="77777777" w:rsidR="00450D29" w:rsidRDefault="00000000">
      <w:pPr>
        <w:spacing w:line="276" w:lineRule="auto"/>
        <w:ind w:firstLine="720"/>
        <w:jc w:val="both"/>
      </w:pPr>
      <w:r>
        <w:rPr>
          <w:rFonts w:ascii="Bookman Old Style" w:hAnsi="Bookman Old Style" w:cs="Bookman Old Style"/>
          <w:sz w:val="22"/>
        </w:rPr>
        <w:t xml:space="preserve">The qualitative data revealed four main challenges: limited teaching resources, since teachers often created their own local wisdom-based materials and struggled to obtain accurate documentation; curriculum pressure, since completing textbook </w:t>
      </w:r>
      <w:r>
        <w:rPr>
          <w:rFonts w:ascii="Bookman Old Style" w:hAnsi="Bookman Old Style" w:cs="Bookman Old Style"/>
          <w:sz w:val="22"/>
        </w:rPr>
        <w:lastRenderedPageBreak/>
        <w:t>units and preparing for assessments left local wisdom integration supplementary rather than central; teachers' uneven cultural knowledge, requiring collaboration with parents and community elders; and assessment design, since vocabulary and grammar were easier to assess than cultural interpretation and intercultural reflection, explaining reflective assessment's lower quantitative score.</w:t>
      </w:r>
    </w:p>
    <w:p w14:paraId="6DB39CAE" w14:textId="77777777" w:rsidR="00450D29" w:rsidRDefault="00000000">
      <w:pPr>
        <w:keepNext/>
        <w:spacing w:before="100" w:line="276" w:lineRule="auto"/>
      </w:pPr>
      <w:r>
        <w:rPr>
          <w:rFonts w:ascii="Bookman Old Style" w:hAnsi="Bookman Old Style" w:cs="Bookman Old Style"/>
          <w:sz w:val="22"/>
        </w:rPr>
        <w:t>Table 3. Qualitative Themes on Benefits and Challenges</w:t>
      </w:r>
    </w:p>
    <w:tbl>
      <w:tblPr>
        <w:tblW w:w="0" w:type="auto"/>
        <w:jc w:val="center"/>
        <w:tblCellMar>
          <w:top w:w="20" w:type="dxa"/>
          <w:left w:w="80" w:type="dxa"/>
          <w:bottom w:w="20" w:type="dxa"/>
          <w:right w:w="80" w:type="dxa"/>
        </w:tblCellMar>
        <w:tblLook w:val="04A0" w:firstRow="1" w:lastRow="0" w:firstColumn="1" w:lastColumn="0" w:noHBand="0" w:noVBand="1"/>
      </w:tblPr>
      <w:tblGrid>
        <w:gridCol w:w="2410"/>
        <w:gridCol w:w="2418"/>
        <w:gridCol w:w="2429"/>
      </w:tblGrid>
      <w:tr w:rsidR="00450D29" w14:paraId="03539DBE" w14:textId="77777777">
        <w:trPr>
          <w:jc w:val="center"/>
        </w:trPr>
        <w:tc>
          <w:tcPr>
            <w:tcW w:w="2476" w:type="dxa"/>
            <w:tcBorders>
              <w:top w:val="single" w:sz="4" w:space="0" w:color="000000"/>
              <w:left w:val="nil"/>
              <w:bottom w:val="single" w:sz="4" w:space="0" w:color="000000"/>
              <w:right w:val="nil"/>
            </w:tcBorders>
          </w:tcPr>
          <w:p w14:paraId="1E8EC14A" w14:textId="77777777" w:rsidR="00450D29" w:rsidRDefault="00000000">
            <w:pPr>
              <w:spacing w:line="276" w:lineRule="auto"/>
              <w:jc w:val="center"/>
            </w:pPr>
            <w:r>
              <w:rPr>
                <w:rFonts w:ascii="Bookman Old Style" w:hAnsi="Bookman Old Style" w:cs="Bookman Old Style"/>
                <w:b/>
                <w:sz w:val="18"/>
              </w:rPr>
              <w:t>Theme</w:t>
            </w:r>
          </w:p>
        </w:tc>
        <w:tc>
          <w:tcPr>
            <w:tcW w:w="2476" w:type="dxa"/>
            <w:tcBorders>
              <w:top w:val="single" w:sz="4" w:space="0" w:color="000000"/>
              <w:left w:val="nil"/>
              <w:bottom w:val="single" w:sz="4" w:space="0" w:color="000000"/>
              <w:right w:val="nil"/>
            </w:tcBorders>
          </w:tcPr>
          <w:p w14:paraId="6599F3F2" w14:textId="77777777" w:rsidR="00450D29" w:rsidRDefault="00000000">
            <w:pPr>
              <w:spacing w:line="276" w:lineRule="auto"/>
              <w:jc w:val="center"/>
            </w:pPr>
            <w:r>
              <w:rPr>
                <w:rFonts w:ascii="Bookman Old Style" w:hAnsi="Bookman Old Style" w:cs="Bookman Old Style"/>
                <w:b/>
                <w:sz w:val="18"/>
              </w:rPr>
              <w:t>Evidence from Classroom Practice</w:t>
            </w:r>
          </w:p>
        </w:tc>
        <w:tc>
          <w:tcPr>
            <w:tcW w:w="2476" w:type="dxa"/>
            <w:tcBorders>
              <w:top w:val="single" w:sz="4" w:space="0" w:color="000000"/>
              <w:left w:val="nil"/>
              <w:bottom w:val="single" w:sz="4" w:space="0" w:color="000000"/>
              <w:right w:val="nil"/>
            </w:tcBorders>
          </w:tcPr>
          <w:p w14:paraId="5E30705E" w14:textId="77777777" w:rsidR="00450D29" w:rsidRDefault="00000000">
            <w:pPr>
              <w:spacing w:line="276" w:lineRule="auto"/>
              <w:jc w:val="center"/>
            </w:pPr>
            <w:r>
              <w:rPr>
                <w:rFonts w:ascii="Bookman Old Style" w:hAnsi="Bookman Old Style" w:cs="Bookman Old Style"/>
                <w:b/>
                <w:sz w:val="18"/>
              </w:rPr>
              <w:t>Pedagogical Meaning</w:t>
            </w:r>
          </w:p>
        </w:tc>
      </w:tr>
      <w:tr w:rsidR="00450D29" w14:paraId="6FB1F279" w14:textId="77777777">
        <w:trPr>
          <w:jc w:val="center"/>
        </w:trPr>
        <w:tc>
          <w:tcPr>
            <w:tcW w:w="2476" w:type="dxa"/>
            <w:tcBorders>
              <w:top w:val="nil"/>
              <w:left w:val="nil"/>
              <w:bottom w:val="nil"/>
              <w:right w:val="nil"/>
            </w:tcBorders>
          </w:tcPr>
          <w:p w14:paraId="39D74276" w14:textId="77777777" w:rsidR="00450D29" w:rsidRDefault="00000000">
            <w:pPr>
              <w:spacing w:line="276" w:lineRule="auto"/>
            </w:pPr>
            <w:r>
              <w:rPr>
                <w:rFonts w:ascii="Bookman Old Style" w:hAnsi="Bookman Old Style" w:cs="Bookman Old Style"/>
                <w:sz w:val="18"/>
              </w:rPr>
              <w:t>Meaningful language input</w:t>
            </w:r>
          </w:p>
        </w:tc>
        <w:tc>
          <w:tcPr>
            <w:tcW w:w="2476" w:type="dxa"/>
            <w:tcBorders>
              <w:top w:val="nil"/>
              <w:left w:val="nil"/>
              <w:bottom w:val="nil"/>
              <w:right w:val="nil"/>
            </w:tcBorders>
          </w:tcPr>
          <w:p w14:paraId="121D8ACE" w14:textId="77777777" w:rsidR="00450D29" w:rsidRDefault="00000000">
            <w:pPr>
              <w:spacing w:line="276" w:lineRule="auto"/>
            </w:pPr>
            <w:r>
              <w:rPr>
                <w:rFonts w:ascii="Bookman Old Style" w:hAnsi="Bookman Old Style" w:cs="Bookman Old Style"/>
                <w:sz w:val="18"/>
              </w:rPr>
              <w:t>Students described local food, cultural sites, traditional markets, and community events in English and Indonesian</w:t>
            </w:r>
          </w:p>
        </w:tc>
        <w:tc>
          <w:tcPr>
            <w:tcW w:w="2476" w:type="dxa"/>
            <w:tcBorders>
              <w:top w:val="nil"/>
              <w:left w:val="nil"/>
              <w:bottom w:val="nil"/>
              <w:right w:val="nil"/>
            </w:tcBorders>
          </w:tcPr>
          <w:p w14:paraId="1262B477" w14:textId="77777777" w:rsidR="00450D29" w:rsidRDefault="00000000">
            <w:pPr>
              <w:spacing w:line="276" w:lineRule="auto"/>
            </w:pPr>
            <w:r>
              <w:rPr>
                <w:rFonts w:ascii="Bookman Old Style" w:hAnsi="Bookman Old Style" w:cs="Bookman Old Style"/>
                <w:sz w:val="18"/>
              </w:rPr>
              <w:t>Local context supported vocabulary comprehension and text understanding</w:t>
            </w:r>
          </w:p>
        </w:tc>
      </w:tr>
      <w:tr w:rsidR="00450D29" w14:paraId="3C9A92C5" w14:textId="77777777">
        <w:trPr>
          <w:jc w:val="center"/>
        </w:trPr>
        <w:tc>
          <w:tcPr>
            <w:tcW w:w="2476" w:type="dxa"/>
            <w:tcBorders>
              <w:top w:val="nil"/>
              <w:left w:val="nil"/>
              <w:bottom w:val="nil"/>
              <w:right w:val="nil"/>
            </w:tcBorders>
          </w:tcPr>
          <w:p w14:paraId="18B00378" w14:textId="77777777" w:rsidR="00450D29" w:rsidRDefault="00000000">
            <w:pPr>
              <w:spacing w:line="276" w:lineRule="auto"/>
            </w:pPr>
            <w:r>
              <w:rPr>
                <w:rFonts w:ascii="Bookman Old Style" w:hAnsi="Bookman Old Style" w:cs="Bookman Old Style"/>
                <w:sz w:val="18"/>
              </w:rPr>
              <w:t>Increased participation</w:t>
            </w:r>
          </w:p>
        </w:tc>
        <w:tc>
          <w:tcPr>
            <w:tcW w:w="2476" w:type="dxa"/>
            <w:tcBorders>
              <w:top w:val="nil"/>
              <w:left w:val="nil"/>
              <w:bottom w:val="nil"/>
              <w:right w:val="nil"/>
            </w:tcBorders>
          </w:tcPr>
          <w:p w14:paraId="3381E1A5" w14:textId="77777777" w:rsidR="00450D29" w:rsidRDefault="00000000">
            <w:pPr>
              <w:spacing w:line="276" w:lineRule="auto"/>
            </w:pPr>
            <w:r>
              <w:rPr>
                <w:rFonts w:ascii="Bookman Old Style" w:hAnsi="Bookman Old Style" w:cs="Bookman Old Style"/>
                <w:sz w:val="18"/>
              </w:rPr>
              <w:t>Students were more active when discussing familiar folktales, proverbs, and traditional games</w:t>
            </w:r>
          </w:p>
        </w:tc>
        <w:tc>
          <w:tcPr>
            <w:tcW w:w="2476" w:type="dxa"/>
            <w:tcBorders>
              <w:top w:val="nil"/>
              <w:left w:val="nil"/>
              <w:bottom w:val="nil"/>
              <w:right w:val="nil"/>
            </w:tcBorders>
          </w:tcPr>
          <w:p w14:paraId="18BA429F" w14:textId="77777777" w:rsidR="00450D29" w:rsidRDefault="00000000">
            <w:pPr>
              <w:spacing w:line="276" w:lineRule="auto"/>
            </w:pPr>
            <w:r>
              <w:rPr>
                <w:rFonts w:ascii="Bookman Old Style" w:hAnsi="Bookman Old Style" w:cs="Bookman Old Style"/>
                <w:sz w:val="18"/>
              </w:rPr>
              <w:t>Cultural familiarity encouraged classroom engagement</w:t>
            </w:r>
          </w:p>
        </w:tc>
      </w:tr>
      <w:tr w:rsidR="00450D29" w14:paraId="519C38D8" w14:textId="77777777">
        <w:trPr>
          <w:jc w:val="center"/>
        </w:trPr>
        <w:tc>
          <w:tcPr>
            <w:tcW w:w="2476" w:type="dxa"/>
            <w:tcBorders>
              <w:top w:val="nil"/>
              <w:left w:val="nil"/>
              <w:bottom w:val="nil"/>
              <w:right w:val="nil"/>
            </w:tcBorders>
          </w:tcPr>
          <w:p w14:paraId="10FD7493" w14:textId="77777777" w:rsidR="00450D29" w:rsidRDefault="00000000">
            <w:pPr>
              <w:spacing w:line="276" w:lineRule="auto"/>
            </w:pPr>
            <w:r>
              <w:rPr>
                <w:rFonts w:ascii="Bookman Old Style" w:hAnsi="Bookman Old Style" w:cs="Bookman Old Style"/>
                <w:sz w:val="18"/>
              </w:rPr>
              <w:t>Multilingual meaning-making</w:t>
            </w:r>
          </w:p>
        </w:tc>
        <w:tc>
          <w:tcPr>
            <w:tcW w:w="2476" w:type="dxa"/>
            <w:tcBorders>
              <w:top w:val="nil"/>
              <w:left w:val="nil"/>
              <w:bottom w:val="nil"/>
              <w:right w:val="nil"/>
            </w:tcBorders>
          </w:tcPr>
          <w:p w14:paraId="666DD92E" w14:textId="77777777" w:rsidR="00450D29" w:rsidRDefault="00000000">
            <w:pPr>
              <w:spacing w:line="276" w:lineRule="auto"/>
            </w:pPr>
            <w:r>
              <w:rPr>
                <w:rFonts w:ascii="Bookman Old Style" w:hAnsi="Bookman Old Style" w:cs="Bookman Old Style"/>
                <w:sz w:val="18"/>
              </w:rPr>
              <w:t>Students compared local language terms, Indonesian explanations, and English translations</w:t>
            </w:r>
          </w:p>
        </w:tc>
        <w:tc>
          <w:tcPr>
            <w:tcW w:w="2476" w:type="dxa"/>
            <w:tcBorders>
              <w:top w:val="nil"/>
              <w:left w:val="nil"/>
              <w:bottom w:val="nil"/>
              <w:right w:val="nil"/>
            </w:tcBorders>
          </w:tcPr>
          <w:p w14:paraId="1F31B93E" w14:textId="77777777" w:rsidR="00450D29" w:rsidRDefault="00000000">
            <w:pPr>
              <w:spacing w:line="276" w:lineRule="auto"/>
            </w:pPr>
            <w:r>
              <w:rPr>
                <w:rFonts w:ascii="Bookman Old Style" w:hAnsi="Bookman Old Style" w:cs="Bookman Old Style"/>
                <w:sz w:val="18"/>
              </w:rPr>
              <w:t>Translanguaging supported deeper cultural and linguistic understanding</w:t>
            </w:r>
          </w:p>
        </w:tc>
      </w:tr>
      <w:tr w:rsidR="00450D29" w14:paraId="7E637059" w14:textId="77777777">
        <w:trPr>
          <w:jc w:val="center"/>
        </w:trPr>
        <w:tc>
          <w:tcPr>
            <w:tcW w:w="2476" w:type="dxa"/>
            <w:tcBorders>
              <w:top w:val="nil"/>
              <w:left w:val="nil"/>
              <w:bottom w:val="nil"/>
              <w:right w:val="nil"/>
            </w:tcBorders>
          </w:tcPr>
          <w:p w14:paraId="713D8E95" w14:textId="77777777" w:rsidR="00450D29" w:rsidRDefault="00000000">
            <w:pPr>
              <w:spacing w:line="276" w:lineRule="auto"/>
            </w:pPr>
            <w:r>
              <w:rPr>
                <w:rFonts w:ascii="Bookman Old Style" w:hAnsi="Bookman Old Style" w:cs="Bookman Old Style"/>
                <w:sz w:val="18"/>
              </w:rPr>
              <w:t>Critical cultural reflection</w:t>
            </w:r>
          </w:p>
        </w:tc>
        <w:tc>
          <w:tcPr>
            <w:tcW w:w="2476" w:type="dxa"/>
            <w:tcBorders>
              <w:top w:val="nil"/>
              <w:left w:val="nil"/>
              <w:bottom w:val="nil"/>
              <w:right w:val="nil"/>
            </w:tcBorders>
          </w:tcPr>
          <w:p w14:paraId="6193DB58" w14:textId="77777777" w:rsidR="00450D29" w:rsidRDefault="00000000">
            <w:pPr>
              <w:spacing w:line="276" w:lineRule="auto"/>
            </w:pPr>
            <w:r>
              <w:rPr>
                <w:rFonts w:ascii="Bookman Old Style" w:hAnsi="Bookman Old Style" w:cs="Bookman Old Style"/>
                <w:sz w:val="18"/>
              </w:rPr>
              <w:t>Students discussed changes in local traditions, youth language practices, and environmental values</w:t>
            </w:r>
          </w:p>
        </w:tc>
        <w:tc>
          <w:tcPr>
            <w:tcW w:w="2476" w:type="dxa"/>
            <w:tcBorders>
              <w:top w:val="nil"/>
              <w:left w:val="nil"/>
              <w:bottom w:val="nil"/>
              <w:right w:val="nil"/>
            </w:tcBorders>
          </w:tcPr>
          <w:p w14:paraId="0052AA7F" w14:textId="77777777" w:rsidR="00450D29" w:rsidRDefault="00000000">
            <w:pPr>
              <w:spacing w:line="276" w:lineRule="auto"/>
            </w:pPr>
            <w:r>
              <w:rPr>
                <w:rFonts w:ascii="Bookman Old Style" w:hAnsi="Bookman Old Style" w:cs="Bookman Old Style"/>
                <w:sz w:val="18"/>
              </w:rPr>
              <w:t>Culture was treated as dynamic and open to interpretation</w:t>
            </w:r>
          </w:p>
        </w:tc>
      </w:tr>
      <w:tr w:rsidR="00450D29" w14:paraId="428C1FAE" w14:textId="77777777">
        <w:trPr>
          <w:jc w:val="center"/>
        </w:trPr>
        <w:tc>
          <w:tcPr>
            <w:tcW w:w="2476" w:type="dxa"/>
            <w:tcBorders>
              <w:top w:val="nil"/>
              <w:left w:val="nil"/>
              <w:bottom w:val="nil"/>
              <w:right w:val="nil"/>
            </w:tcBorders>
          </w:tcPr>
          <w:p w14:paraId="47D9F899" w14:textId="77777777" w:rsidR="00450D29" w:rsidRDefault="00000000">
            <w:pPr>
              <w:spacing w:line="276" w:lineRule="auto"/>
            </w:pPr>
            <w:r>
              <w:rPr>
                <w:rFonts w:ascii="Bookman Old Style" w:hAnsi="Bookman Old Style" w:cs="Bookman Old Style"/>
                <w:sz w:val="18"/>
              </w:rPr>
              <w:t>Resource limitation</w:t>
            </w:r>
          </w:p>
        </w:tc>
        <w:tc>
          <w:tcPr>
            <w:tcW w:w="2476" w:type="dxa"/>
            <w:tcBorders>
              <w:top w:val="nil"/>
              <w:left w:val="nil"/>
              <w:bottom w:val="nil"/>
              <w:right w:val="nil"/>
            </w:tcBorders>
          </w:tcPr>
          <w:p w14:paraId="1022EDCF" w14:textId="77777777" w:rsidR="00450D29" w:rsidRDefault="00000000">
            <w:pPr>
              <w:spacing w:line="276" w:lineRule="auto"/>
            </w:pPr>
            <w:r>
              <w:rPr>
                <w:rFonts w:ascii="Bookman Old Style" w:hAnsi="Bookman Old Style" w:cs="Bookman Old Style"/>
                <w:sz w:val="18"/>
              </w:rPr>
              <w:t>Teachers created local stories, worksheets, and vocabulary lists independently</w:t>
            </w:r>
          </w:p>
        </w:tc>
        <w:tc>
          <w:tcPr>
            <w:tcW w:w="2476" w:type="dxa"/>
            <w:tcBorders>
              <w:top w:val="nil"/>
              <w:left w:val="nil"/>
              <w:bottom w:val="nil"/>
              <w:right w:val="nil"/>
            </w:tcBorders>
          </w:tcPr>
          <w:p w14:paraId="2709EB14" w14:textId="77777777" w:rsidR="00450D29" w:rsidRDefault="00000000">
            <w:pPr>
              <w:spacing w:line="276" w:lineRule="auto"/>
            </w:pPr>
            <w:r>
              <w:rPr>
                <w:rFonts w:ascii="Bookman Old Style" w:hAnsi="Bookman Old Style" w:cs="Bookman Old Style"/>
                <w:sz w:val="18"/>
              </w:rPr>
              <w:t>Institutional support and local material banks were needed</w:t>
            </w:r>
          </w:p>
        </w:tc>
      </w:tr>
      <w:tr w:rsidR="00450D29" w14:paraId="076EB774" w14:textId="77777777">
        <w:trPr>
          <w:jc w:val="center"/>
        </w:trPr>
        <w:tc>
          <w:tcPr>
            <w:tcW w:w="2476" w:type="dxa"/>
            <w:tcBorders>
              <w:top w:val="nil"/>
              <w:left w:val="nil"/>
              <w:bottom w:val="single" w:sz="4" w:space="0" w:color="000000"/>
              <w:right w:val="nil"/>
            </w:tcBorders>
          </w:tcPr>
          <w:p w14:paraId="14A81FA5" w14:textId="77777777" w:rsidR="00450D29" w:rsidRDefault="00000000">
            <w:pPr>
              <w:spacing w:line="276" w:lineRule="auto"/>
            </w:pPr>
            <w:r>
              <w:rPr>
                <w:rFonts w:ascii="Bookman Old Style" w:hAnsi="Bookman Old Style" w:cs="Bookman Old Style"/>
                <w:sz w:val="18"/>
              </w:rPr>
              <w:t>Assessment difficulty</w:t>
            </w:r>
          </w:p>
        </w:tc>
        <w:tc>
          <w:tcPr>
            <w:tcW w:w="2476" w:type="dxa"/>
            <w:tcBorders>
              <w:top w:val="nil"/>
              <w:left w:val="nil"/>
              <w:bottom w:val="single" w:sz="4" w:space="0" w:color="000000"/>
              <w:right w:val="nil"/>
            </w:tcBorders>
          </w:tcPr>
          <w:p w14:paraId="10D2B0B8" w14:textId="77777777" w:rsidR="00450D29" w:rsidRDefault="00000000">
            <w:pPr>
              <w:spacing w:line="276" w:lineRule="auto"/>
            </w:pPr>
            <w:r>
              <w:rPr>
                <w:rFonts w:ascii="Bookman Old Style" w:hAnsi="Bookman Old Style" w:cs="Bookman Old Style"/>
                <w:sz w:val="18"/>
              </w:rPr>
              <w:t>Teachers lacked rubrics for assessing cultural interpretation and intercultural reflection</w:t>
            </w:r>
          </w:p>
        </w:tc>
        <w:tc>
          <w:tcPr>
            <w:tcW w:w="2476" w:type="dxa"/>
            <w:tcBorders>
              <w:top w:val="nil"/>
              <w:left w:val="nil"/>
              <w:bottom w:val="single" w:sz="4" w:space="0" w:color="000000"/>
              <w:right w:val="nil"/>
            </w:tcBorders>
          </w:tcPr>
          <w:p w14:paraId="7DD24A06" w14:textId="77777777" w:rsidR="00450D29" w:rsidRDefault="00000000">
            <w:pPr>
              <w:spacing w:line="276" w:lineRule="auto"/>
            </w:pPr>
            <w:r>
              <w:rPr>
                <w:rFonts w:ascii="Bookman Old Style" w:hAnsi="Bookman Old Style" w:cs="Bookman Old Style"/>
                <w:sz w:val="18"/>
              </w:rPr>
              <w:t>Evaluation needed broader indicators beyond grammar and vocabulary</w:t>
            </w:r>
          </w:p>
        </w:tc>
      </w:tr>
    </w:tbl>
    <w:p w14:paraId="3D808694" w14:textId="77777777" w:rsidR="00450D29" w:rsidRDefault="00000000">
      <w:pPr>
        <w:spacing w:line="276" w:lineRule="auto"/>
      </w:pPr>
      <w:r>
        <w:rPr>
          <w:rFonts w:ascii="Bookman Old Style" w:hAnsi="Bookman Old Style" w:cs="Bookman Old Style"/>
          <w:i/>
          <w:sz w:val="20"/>
        </w:rPr>
        <w:t>Source: Synthesized from interview, observation, and document data.</w:t>
      </w:r>
    </w:p>
    <w:p w14:paraId="06B7A067" w14:textId="77777777" w:rsidR="00450D29" w:rsidRDefault="00000000">
      <w:pPr>
        <w:spacing w:line="276" w:lineRule="auto"/>
        <w:ind w:firstLine="720"/>
        <w:jc w:val="both"/>
      </w:pPr>
      <w:r>
        <w:rPr>
          <w:rFonts w:ascii="Bookman Old Style" w:hAnsi="Bookman Old Style" w:cs="Bookman Old Style"/>
          <w:sz w:val="22"/>
        </w:rPr>
        <w:t xml:space="preserve">The qualitative findings further explain the quantitative results: students became more active with familiar cultural topics, </w:t>
      </w:r>
      <w:r>
        <w:rPr>
          <w:rFonts w:ascii="Bookman Old Style" w:hAnsi="Bookman Old Style" w:cs="Bookman Old Style"/>
          <w:sz w:val="22"/>
        </w:rPr>
        <w:lastRenderedPageBreak/>
        <w:t>describing local food or markets using simple English in descriptive lessons, and participating better in narrative lessons using local folktales since prior knowledge of characters and settings helped them construct meaning before producing responses.</w:t>
      </w:r>
    </w:p>
    <w:p w14:paraId="4D915194" w14:textId="77777777" w:rsidR="00450D29" w:rsidRDefault="00000000">
      <w:pPr>
        <w:spacing w:line="276" w:lineRule="auto"/>
        <w:ind w:firstLine="720"/>
        <w:jc w:val="both"/>
      </w:pPr>
      <w:r>
        <w:rPr>
          <w:rFonts w:ascii="Bookman Old Style" w:hAnsi="Bookman Old Style" w:cs="Bookman Old Style"/>
          <w:sz w:val="22"/>
        </w:rPr>
        <w:t>Interview data revealed that teachers viewed local wisdom as a bridge between everyday experience and formal learning, reducing students' hesitation to speak on familiar topics — though such instruction required additional preparation to adapt oral stories, simplify explanations, and design vocabulary and assessment activities balancing linguistic accuracy and cultural understanding.</w:t>
      </w:r>
    </w:p>
    <w:p w14:paraId="5AF38384" w14:textId="77777777" w:rsidR="00450D29" w:rsidRDefault="00000000">
      <w:pPr>
        <w:keepNext/>
        <w:spacing w:before="200" w:line="276" w:lineRule="auto"/>
      </w:pPr>
      <w:r>
        <w:rPr>
          <w:rFonts w:ascii="Bookman Old Style" w:hAnsi="Bookman Old Style" w:cs="Bookman Old Style"/>
          <w:b/>
          <w:sz w:val="22"/>
        </w:rPr>
        <w:t>2. Discussion</w:t>
      </w:r>
    </w:p>
    <w:p w14:paraId="4B09363F" w14:textId="77777777" w:rsidR="00450D29" w:rsidRDefault="00000000">
      <w:pPr>
        <w:spacing w:line="276" w:lineRule="auto"/>
        <w:ind w:firstLine="720"/>
        <w:jc w:val="both"/>
      </w:pPr>
      <w:r>
        <w:rPr>
          <w:rFonts w:ascii="Bookman Old Style" w:hAnsi="Bookman Old Style" w:cs="Bookman Old Style"/>
          <w:sz w:val="22"/>
        </w:rPr>
        <w:t>The findings show that integrating local wisdom requires more than inserting cultural symbols into materials; teachers need to transform it into pedagogically meaningful activities supporting language competence, intercultural awareness, and engagement — supporting Gay's (2002) and Ladson-Billings' (1995) view that culturally relevant pedagogy connects academic learning, cultural competence, and critical consciousness.</w:t>
      </w:r>
    </w:p>
    <w:p w14:paraId="3B72D9D1" w14:textId="77777777" w:rsidR="00450D29" w:rsidRDefault="00000000">
      <w:pPr>
        <w:spacing w:line="276" w:lineRule="auto"/>
        <w:ind w:firstLine="720"/>
        <w:jc w:val="both"/>
      </w:pPr>
      <w:r>
        <w:rPr>
          <w:rFonts w:ascii="Bookman Old Style" w:hAnsi="Bookman Old Style" w:cs="Bookman Old Style"/>
          <w:sz w:val="22"/>
        </w:rPr>
        <w:t>Contextualization must go beyond replacing generic content with local names or objects, however; used only at the surface level it may become tokenistic, whereas discussing cultural meaning and historical background alongside vocabulary produces deeper learning, consistent with Weninger and Kiss's (2013) view of culture as a semiotic process rather than fixed information.</w:t>
      </w:r>
    </w:p>
    <w:p w14:paraId="401AF2FA" w14:textId="77777777" w:rsidR="00450D29" w:rsidRDefault="00000000">
      <w:pPr>
        <w:spacing w:line="276" w:lineRule="auto"/>
        <w:ind w:firstLine="720"/>
        <w:jc w:val="both"/>
      </w:pPr>
      <w:r>
        <w:rPr>
          <w:rFonts w:ascii="Bookman Old Style" w:hAnsi="Bookman Old Style" w:cs="Bookman Old Style"/>
          <w:sz w:val="22"/>
        </w:rPr>
        <w:t>The use of local narratives has strong implications for literacy development: reading, retelling, dramatizing, or rewriting them develops reading comprehension, speaking fluency, writing organization, and cultural awareness — supporting culturally sustaining pedagogy, in which local stories and languages are sustained as valid learning resources (Paris, 2012; Paris &amp; Alim, 2014).</w:t>
      </w:r>
    </w:p>
    <w:p w14:paraId="64E848AB" w14:textId="77777777" w:rsidR="00450D29" w:rsidRDefault="00000000">
      <w:pPr>
        <w:spacing w:line="276" w:lineRule="auto"/>
        <w:ind w:firstLine="720"/>
        <w:jc w:val="both"/>
      </w:pPr>
      <w:r>
        <w:rPr>
          <w:rFonts w:ascii="Bookman Old Style" w:hAnsi="Bookman Old Style" w:cs="Bookman Old Style"/>
          <w:sz w:val="22"/>
        </w:rPr>
        <w:t xml:space="preserve">Translanguaging can support local wisdom-based education since students often need local languages to explain untranslatable cultural meanings (Creese &amp; Blackledge, 2010), needing purposeful design, however: local language should activate prior knowledge and support initial discussion before students reformulate ideas in </w:t>
      </w:r>
      <w:r>
        <w:rPr>
          <w:rFonts w:ascii="Bookman Old Style" w:hAnsi="Bookman Old Style" w:cs="Bookman Old Style"/>
          <w:sz w:val="22"/>
        </w:rPr>
        <w:lastRenderedPageBreak/>
        <w:t>Indonesian or English — a bridge toward, not a substitute for, target-language production (Lucas &amp; Villegas, 2013).</w:t>
      </w:r>
    </w:p>
    <w:p w14:paraId="3E38BEE2" w14:textId="77777777" w:rsidR="00450D29" w:rsidRDefault="00000000">
      <w:pPr>
        <w:spacing w:line="276" w:lineRule="auto"/>
        <w:ind w:firstLine="720"/>
        <w:jc w:val="both"/>
      </w:pPr>
      <w:r>
        <w:rPr>
          <w:rFonts w:ascii="Bookman Old Style" w:hAnsi="Bookman Old Style" w:cs="Bookman Old Style"/>
          <w:sz w:val="22"/>
        </w:rPr>
        <w:t>The positive relationship between local wisdom-based strategies and engagement indicates cultural relevance matters: students participate more when learning content connects to their own lives, consistent with culturally responsive teaching's emphasis on cultural frames of reference (Gay, 2002; Aronson &amp; Laughter, 2016).</w:t>
      </w:r>
    </w:p>
    <w:p w14:paraId="21FFBA1F" w14:textId="77777777" w:rsidR="00450D29" w:rsidRDefault="00000000">
      <w:pPr>
        <w:spacing w:line="276" w:lineRule="auto"/>
        <w:ind w:firstLine="720"/>
        <w:jc w:val="both"/>
      </w:pPr>
      <w:r>
        <w:rPr>
          <w:rFonts w:ascii="Bookman Old Style" w:hAnsi="Bookman Old Style" w:cs="Bookman Old Style"/>
          <w:sz w:val="22"/>
        </w:rPr>
        <w:t>Intercultural awareness development is another important contribution: education should help students compare local, national, and global perspectives rather than focus only on their own culture, aligning with English as an international language pedagogy taught appropriately to local contexts (Alptekin, 2002; McKay, 2003; Kirkpatrick, 2012).</w:t>
      </w:r>
    </w:p>
    <w:p w14:paraId="6A93FED1" w14:textId="77777777" w:rsidR="00450D29" w:rsidRDefault="00000000">
      <w:pPr>
        <w:spacing w:line="276" w:lineRule="auto"/>
        <w:ind w:firstLine="720"/>
        <w:jc w:val="both"/>
      </w:pPr>
      <w:r>
        <w:rPr>
          <w:rFonts w:ascii="Bookman Old Style" w:hAnsi="Bookman Old Style" w:cs="Bookman Old Style"/>
          <w:sz w:val="22"/>
        </w:rPr>
        <w:t>The challenges identified show that teachers need institutional support — resources, professional development, and curriculum flexibility — which schools can provide through local resource banks and community collaboration.</w:t>
      </w:r>
    </w:p>
    <w:p w14:paraId="4AA383AC" w14:textId="77777777" w:rsidR="00450D29" w:rsidRDefault="00000000">
      <w:pPr>
        <w:spacing w:line="276" w:lineRule="auto"/>
        <w:ind w:firstLine="720"/>
        <w:jc w:val="both"/>
      </w:pPr>
      <w:r>
        <w:rPr>
          <w:rFonts w:ascii="Bookman Old Style" w:hAnsi="Bookman Old Style" w:cs="Bookman Old Style"/>
          <w:sz w:val="22"/>
        </w:rPr>
        <w:t>Assessment remains critical: if it focuses only on grammar and vocabulary, teachers may avoid deeper cultural learning. Assessment should include cultural explanation, intercultural comparison, and reflective thinking alongside accuracy, with rubrics making local wisdom-based education more academically rigorous.</w:t>
      </w:r>
    </w:p>
    <w:p w14:paraId="7DFF3EF6" w14:textId="77777777" w:rsidR="00450D29" w:rsidRDefault="00000000">
      <w:pPr>
        <w:spacing w:line="276" w:lineRule="auto"/>
        <w:ind w:firstLine="720"/>
        <w:jc w:val="both"/>
      </w:pPr>
      <w:r>
        <w:rPr>
          <w:rFonts w:ascii="Bookman Old Style" w:hAnsi="Bookman Old Style" w:cs="Bookman Old Style"/>
          <w:sz w:val="22"/>
        </w:rPr>
        <w:t>The findings also respond to critiques of multicultural education: Banks (1993) emphasized its multidimensional nature, Sleeter (2012) warned it is often marginalized in formal schooling, and Kubota (2016) cautioned that multicultural discourse can become superficial when ignoring power and inequality — so local wisdom-based education should examine how culture changes, not merely celebrate it.</w:t>
      </w:r>
    </w:p>
    <w:p w14:paraId="441F6FA2" w14:textId="77777777" w:rsidR="00450D29" w:rsidRDefault="00000000">
      <w:pPr>
        <w:spacing w:line="276" w:lineRule="auto"/>
        <w:ind w:firstLine="720"/>
        <w:jc w:val="both"/>
      </w:pPr>
      <w:r>
        <w:rPr>
          <w:rFonts w:ascii="Bookman Old Style" w:hAnsi="Bookman Old Style" w:cs="Bookman Old Style"/>
          <w:sz w:val="22"/>
        </w:rPr>
        <w:t>Overall, teachers' pedagogical strategies can be organized into six connected practices which, implemented critically, can strengthen language competence, cultural identity, participation, and intercultural awareness.</w:t>
      </w:r>
    </w:p>
    <w:p w14:paraId="050A74E5" w14:textId="77777777" w:rsidR="00450D29" w:rsidRDefault="00000000">
      <w:pPr>
        <w:pStyle w:val="DaftarParagraf"/>
        <w:keepNext/>
        <w:spacing w:before="200" w:after="0"/>
        <w:ind w:left="0"/>
        <w:jc w:val="both"/>
      </w:pPr>
      <w:r>
        <w:rPr>
          <w:rFonts w:ascii="Bookman Old Style" w:hAnsi="Bookman Old Style" w:cs="Bookman Old Style"/>
          <w:b/>
        </w:rPr>
        <w:lastRenderedPageBreak/>
        <w:t>D. Conclusion</w:t>
      </w:r>
    </w:p>
    <w:p w14:paraId="7D331CE6" w14:textId="77777777" w:rsidR="00450D29" w:rsidRDefault="00000000">
      <w:pPr>
        <w:spacing w:line="276" w:lineRule="auto"/>
        <w:ind w:firstLine="720"/>
        <w:jc w:val="both"/>
      </w:pPr>
      <w:r>
        <w:rPr>
          <w:rFonts w:ascii="Bookman Old Style" w:hAnsi="Bookman Old Style" w:cs="Bookman Old Style"/>
          <w:sz w:val="22"/>
        </w:rPr>
        <w:t>This study examined teachers' pedagogical strategies for integrating local wisdom into language education through a mixed-method design involving 48 teachers, 192 students, 12 interviews, 8 classroom observations, and 24 teaching documents. Teachers integrated local wisdom through contextualized materials, local narratives, cultural resource mapping, translanguaging, community-based tasks, and reflective intercultural assessment. Contextualized materials were most used (M = 4.32; SD = 0.51), followed by local narratives (M = 4.15; SD = 0.57), while reflective assessment was least used (M = 3.08; SD = 0.79) despite the strongest correlation with intercultural awareness (r = 0.62; p &lt; .01). These strategies made learning more meaningful and increased engagement and intercultural awareness, though teachers faced challenges of limited resources, curriculum pressure, uneven cultural knowledge, and assessment design. The study concludes that local wisdom should be a pedagogical foundation for culturally responsive language education, not decorative content; future research should test its effectiveness through classroom intervention.</w:t>
      </w:r>
    </w:p>
    <w:p w14:paraId="2CE8AE19" w14:textId="77777777" w:rsidR="00450D29" w:rsidRDefault="00000000">
      <w:pPr>
        <w:keepNext/>
        <w:spacing w:before="200" w:line="276" w:lineRule="auto"/>
      </w:pPr>
      <w:r>
        <w:rPr>
          <w:rFonts w:ascii="Bookman Old Style" w:hAnsi="Bookman Old Style" w:cs="Bookman Old Style"/>
          <w:b/>
          <w:sz w:val="22"/>
        </w:rPr>
        <w:t>Declaration of AI-Assisted Technologies</w:t>
      </w:r>
    </w:p>
    <w:p w14:paraId="756BC960" w14:textId="77777777" w:rsidR="00450D29" w:rsidRDefault="00000000">
      <w:pPr>
        <w:spacing w:line="276" w:lineRule="auto"/>
        <w:ind w:firstLine="720"/>
        <w:jc w:val="both"/>
      </w:pPr>
      <w:r>
        <w:rPr>
          <w:rFonts w:ascii="Bookman Old Style" w:hAnsi="Bookman Old Style" w:cs="Bookman Old Style"/>
          <w:sz w:val="22"/>
        </w:rPr>
        <w:t>In preparing this manuscript, the authors used AI-assisted tools only to improve English language quality and readability. The tools were not used to generate data or draw conclusions. All conceptual arguments remain the authors' responsibility, and all AI-assisted outputs were reviewed for accuracy and originality.</w:t>
      </w:r>
    </w:p>
    <w:p w14:paraId="43194EFA" w14:textId="77777777" w:rsidR="00450D29" w:rsidRDefault="00000000">
      <w:pPr>
        <w:pStyle w:val="DaftarParagraf"/>
        <w:keepNext/>
        <w:spacing w:before="200" w:after="0"/>
        <w:ind w:left="0"/>
        <w:jc w:val="both"/>
      </w:pPr>
      <w:r>
        <w:rPr>
          <w:rFonts w:ascii="Bookman Old Style" w:hAnsi="Bookman Old Style" w:cs="Bookman Old Style"/>
          <w:b/>
        </w:rPr>
        <w:t>Bibliography</w:t>
      </w:r>
    </w:p>
    <w:p w14:paraId="3CF7A443" w14:textId="77777777" w:rsidR="00450D29" w:rsidRDefault="00000000">
      <w:pPr>
        <w:spacing w:after="240" w:line="276" w:lineRule="auto"/>
        <w:ind w:left="720" w:hanging="720"/>
        <w:jc w:val="both"/>
      </w:pPr>
      <w:r>
        <w:rPr>
          <w:rFonts w:ascii="Bookman Old Style" w:hAnsi="Bookman Old Style" w:cs="Bookman Old Style"/>
          <w:sz w:val="22"/>
        </w:rPr>
        <w:t>Abacioglu, C. S., Volman, M., &amp; Fischer, A. H. (2020). Teachers’ multicultural attitudes and perspective taking abilities as factors in culturally responsive teaching. British Journal of Educational Psychology, 90(3), 736–752. doi: 10.1111/bjep.12328</w:t>
      </w:r>
    </w:p>
    <w:p w14:paraId="03657735" w14:textId="77777777" w:rsidR="00450D29" w:rsidRDefault="00000000">
      <w:pPr>
        <w:spacing w:after="240" w:line="276" w:lineRule="auto"/>
        <w:ind w:left="720" w:hanging="720"/>
        <w:jc w:val="both"/>
      </w:pPr>
      <w:r>
        <w:rPr>
          <w:rFonts w:ascii="Bookman Old Style" w:hAnsi="Bookman Old Style" w:cs="Bookman Old Style"/>
          <w:sz w:val="22"/>
        </w:rPr>
        <w:lastRenderedPageBreak/>
        <w:t>Alptekin, C. (2002). Towards intercultural communicative competence in English language teaching. ELT Journal, 56(1), 57–64. doi: 10.1093/elt/56.1.57</w:t>
      </w:r>
    </w:p>
    <w:p w14:paraId="669AF010" w14:textId="77777777" w:rsidR="00450D29" w:rsidRDefault="00000000">
      <w:pPr>
        <w:spacing w:after="240" w:line="276" w:lineRule="auto"/>
        <w:ind w:left="720" w:hanging="720"/>
        <w:jc w:val="both"/>
      </w:pPr>
      <w:r>
        <w:rPr>
          <w:rFonts w:ascii="Bookman Old Style" w:hAnsi="Bookman Old Style" w:cs="Bookman Old Style"/>
          <w:sz w:val="22"/>
        </w:rPr>
        <w:t>Aronson, B., &amp; Laughter, J. (2016). The theory and practice of culturally relevant education: A synthesis of research across content areas. Review of Educational Research, 86(1), 163–206. doi: 10.3102/0034654315582066</w:t>
      </w:r>
    </w:p>
    <w:p w14:paraId="60F87E69" w14:textId="77777777" w:rsidR="00450D29" w:rsidRDefault="00000000">
      <w:pPr>
        <w:spacing w:after="240" w:line="276" w:lineRule="auto"/>
        <w:ind w:left="720" w:hanging="720"/>
        <w:jc w:val="both"/>
      </w:pPr>
      <w:r>
        <w:rPr>
          <w:rFonts w:ascii="Bookman Old Style" w:hAnsi="Bookman Old Style" w:cs="Bookman Old Style"/>
          <w:sz w:val="22"/>
        </w:rPr>
        <w:t>Baker, W. (2012). From cultural awareness to intercultural awareness: Culture in ELT. ELT Journal, 66(1), 62–70. doi: 10.1093/elt/ccr017</w:t>
      </w:r>
    </w:p>
    <w:p w14:paraId="381671DD" w14:textId="77777777" w:rsidR="00450D29" w:rsidRDefault="00000000">
      <w:pPr>
        <w:spacing w:after="240" w:line="276" w:lineRule="auto"/>
        <w:ind w:left="720" w:hanging="720"/>
        <w:jc w:val="both"/>
      </w:pPr>
      <w:r>
        <w:rPr>
          <w:rFonts w:ascii="Bookman Old Style" w:hAnsi="Bookman Old Style" w:cs="Bookman Old Style"/>
          <w:sz w:val="22"/>
        </w:rPr>
        <w:t>Banks, J. A. (1993). Multicultural education: Historical development, dimensions, and practice. Review of Research in Education, 19, 3–49. doi: 10.3102/0091732X019001003</w:t>
      </w:r>
    </w:p>
    <w:p w14:paraId="501AFE74" w14:textId="77777777" w:rsidR="00450D29" w:rsidRDefault="00000000">
      <w:pPr>
        <w:spacing w:after="240" w:line="276" w:lineRule="auto"/>
        <w:ind w:left="720" w:hanging="720"/>
        <w:jc w:val="both"/>
      </w:pPr>
      <w:r>
        <w:rPr>
          <w:rFonts w:ascii="Bookman Old Style" w:hAnsi="Bookman Old Style" w:cs="Bookman Old Style"/>
          <w:sz w:val="22"/>
        </w:rPr>
        <w:t>Canagarajah, S. (2013). Translingual practice as spatial repertoires: Expanding the paradigm beyond structuralist orientations. Applied Linguistics, 34(3), 247–267. doi: 10.1093/applin/ams026</w:t>
      </w:r>
    </w:p>
    <w:p w14:paraId="36A099CF" w14:textId="77777777" w:rsidR="00450D29" w:rsidRDefault="00000000">
      <w:pPr>
        <w:spacing w:after="240" w:line="276" w:lineRule="auto"/>
        <w:ind w:left="720" w:hanging="720"/>
        <w:jc w:val="both"/>
      </w:pPr>
      <w:r>
        <w:rPr>
          <w:rFonts w:ascii="Bookman Old Style" w:hAnsi="Bookman Old Style" w:cs="Bookman Old Style"/>
          <w:sz w:val="22"/>
        </w:rPr>
        <w:t>Creese, A., &amp; Blackledge, A. (2010). Translanguaging in the bilingual classroom: A pedagogy for learning and teaching. The Modern Language Journal, 94(1), 103–115. doi: 10.1111/j.1540-4781.2009.00986.x</w:t>
      </w:r>
    </w:p>
    <w:p w14:paraId="4A3962BB" w14:textId="77777777" w:rsidR="00450D29" w:rsidRDefault="00000000">
      <w:pPr>
        <w:spacing w:after="240" w:line="276" w:lineRule="auto"/>
        <w:ind w:left="720" w:hanging="720"/>
        <w:jc w:val="both"/>
      </w:pPr>
      <w:r>
        <w:rPr>
          <w:rFonts w:ascii="Bookman Old Style" w:hAnsi="Bookman Old Style" w:cs="Bookman Old Style"/>
          <w:sz w:val="22"/>
        </w:rPr>
        <w:t>Fetters, M. D., Curry, L. A., &amp; Creswell, J. W. (2013). Achieving integration in mixed methods designs: Principles and practices. Annals of Family Medicine, 11(3), 213–215. doi: 10.1370/afm.1330</w:t>
      </w:r>
    </w:p>
    <w:p w14:paraId="168D732F" w14:textId="77777777" w:rsidR="00450D29" w:rsidRDefault="00000000">
      <w:pPr>
        <w:spacing w:after="240" w:line="276" w:lineRule="auto"/>
        <w:ind w:left="720" w:hanging="720"/>
        <w:jc w:val="both"/>
      </w:pPr>
      <w:r>
        <w:rPr>
          <w:rFonts w:ascii="Bookman Old Style" w:hAnsi="Bookman Old Style" w:cs="Bookman Old Style"/>
          <w:sz w:val="22"/>
        </w:rPr>
        <w:t>Gay, G. (2002). Preparing for culturally responsive teaching. Journal of Teacher Education, 53(2), 106–116. doi: 10.1177/0022487102053002003</w:t>
      </w:r>
    </w:p>
    <w:p w14:paraId="4B887DFB" w14:textId="77777777" w:rsidR="00450D29" w:rsidRDefault="00000000">
      <w:pPr>
        <w:spacing w:after="240" w:line="276" w:lineRule="auto"/>
        <w:ind w:left="720" w:hanging="720"/>
        <w:jc w:val="both"/>
      </w:pPr>
      <w:r>
        <w:rPr>
          <w:rFonts w:ascii="Bookman Old Style" w:hAnsi="Bookman Old Style" w:cs="Bookman Old Style"/>
          <w:sz w:val="22"/>
        </w:rPr>
        <w:t xml:space="preserve">Johnson, R. B., &amp; Onwuegbuzie, A. J. (2004). Mixed methods research: A research paradigm whose time has come. </w:t>
      </w:r>
      <w:r>
        <w:rPr>
          <w:rFonts w:ascii="Bookman Old Style" w:hAnsi="Bookman Old Style" w:cs="Bookman Old Style"/>
          <w:sz w:val="22"/>
        </w:rPr>
        <w:lastRenderedPageBreak/>
        <w:t>Educational Researcher, 33(7), 14–26. doi: 10.3102/0013189X033007014</w:t>
      </w:r>
    </w:p>
    <w:p w14:paraId="4E55F0F5" w14:textId="77777777" w:rsidR="00450D29" w:rsidRDefault="00000000">
      <w:pPr>
        <w:spacing w:after="240" w:line="276" w:lineRule="auto"/>
        <w:ind w:left="720" w:hanging="720"/>
        <w:jc w:val="both"/>
      </w:pPr>
      <w:r>
        <w:rPr>
          <w:rFonts w:ascii="Bookman Old Style" w:hAnsi="Bookman Old Style" w:cs="Bookman Old Style"/>
          <w:sz w:val="22"/>
        </w:rPr>
        <w:t>Kirkpatrick, A. (2012). English in ASEAN: Implications for regional multilingualism. Journal of Multilingual and Multicultural Development, 33(4), 331–344. doi: 10.1080/01434632.2012.661433</w:t>
      </w:r>
    </w:p>
    <w:p w14:paraId="5209BAA0" w14:textId="77777777" w:rsidR="00450D29" w:rsidRDefault="00000000">
      <w:pPr>
        <w:spacing w:after="240" w:line="276" w:lineRule="auto"/>
        <w:ind w:left="720" w:hanging="720"/>
        <w:jc w:val="both"/>
      </w:pPr>
      <w:r>
        <w:rPr>
          <w:rFonts w:ascii="Bookman Old Style" w:hAnsi="Bookman Old Style" w:cs="Bookman Old Style"/>
          <w:sz w:val="22"/>
        </w:rPr>
        <w:t>Kramsch, C., &amp; Sullivan, P. (1996). Appropriate pedagogy. ELT Journal, 50(3), 199–212. doi: 10.1093/elt/50.3.199</w:t>
      </w:r>
    </w:p>
    <w:p w14:paraId="5A495AE0" w14:textId="77777777" w:rsidR="00450D29" w:rsidRDefault="00000000">
      <w:pPr>
        <w:spacing w:after="240" w:line="276" w:lineRule="auto"/>
        <w:ind w:left="720" w:hanging="720"/>
        <w:jc w:val="both"/>
      </w:pPr>
      <w:r>
        <w:rPr>
          <w:rFonts w:ascii="Bookman Old Style" w:hAnsi="Bookman Old Style" w:cs="Bookman Old Style"/>
          <w:sz w:val="22"/>
        </w:rPr>
        <w:t>Kubota, R. (2016). The multi/plural turn, postcolonial theory, and neoliberal multiculturalism: Complicities and implications for applied linguistics. Applied Linguistics, 37(4), 474–494. doi: 10.1093/applin/amu045</w:t>
      </w:r>
    </w:p>
    <w:p w14:paraId="4B30198B" w14:textId="77777777" w:rsidR="00450D29" w:rsidRDefault="00000000">
      <w:pPr>
        <w:spacing w:after="240" w:line="276" w:lineRule="auto"/>
        <w:ind w:left="720" w:hanging="720"/>
        <w:jc w:val="both"/>
      </w:pPr>
      <w:r>
        <w:rPr>
          <w:rFonts w:ascii="Bookman Old Style" w:hAnsi="Bookman Old Style" w:cs="Bookman Old Style"/>
          <w:sz w:val="22"/>
        </w:rPr>
        <w:t>Ladson-Billings, G. (1995). Toward a theory of culturally relevant pedagogy. American Educational Research Journal, 32(3), 465–491. doi: 10.3102/00028312032003465</w:t>
      </w:r>
    </w:p>
    <w:p w14:paraId="0F50BEFE" w14:textId="77777777" w:rsidR="00450D29" w:rsidRDefault="00000000">
      <w:pPr>
        <w:spacing w:after="240" w:line="276" w:lineRule="auto"/>
        <w:ind w:left="720" w:hanging="720"/>
        <w:jc w:val="both"/>
      </w:pPr>
      <w:r>
        <w:rPr>
          <w:rFonts w:ascii="Bookman Old Style" w:hAnsi="Bookman Old Style" w:cs="Bookman Old Style"/>
          <w:sz w:val="22"/>
        </w:rPr>
        <w:t>Lucas, T., &amp; Villegas, A. M. (2013). Preparing linguistically responsive teachers: Laying the foundation in preservice teacher education. Theory Into Practice, 52(2), 98–109. doi: 10.1080/00405841.2013.770327</w:t>
      </w:r>
    </w:p>
    <w:p w14:paraId="27BBD36B" w14:textId="77777777" w:rsidR="00450D29" w:rsidRDefault="00000000">
      <w:pPr>
        <w:spacing w:after="240" w:line="276" w:lineRule="auto"/>
        <w:ind w:left="720" w:hanging="720"/>
        <w:jc w:val="both"/>
      </w:pPr>
      <w:r>
        <w:rPr>
          <w:rFonts w:ascii="Bookman Old Style" w:hAnsi="Bookman Old Style" w:cs="Bookman Old Style"/>
          <w:sz w:val="22"/>
        </w:rPr>
        <w:t>McKay, S. L. (2003). Toward an appropriate English as an international language pedagogy: Re-examining common ELT assumptions. International Journal of Applied Linguistics, 13(1), 1–22. doi: 10.1111/1473-4192.00035</w:t>
      </w:r>
    </w:p>
    <w:p w14:paraId="6BAA6BBD" w14:textId="77777777" w:rsidR="00450D29" w:rsidRDefault="00000000">
      <w:pPr>
        <w:spacing w:after="240" w:line="276" w:lineRule="auto"/>
        <w:ind w:left="720" w:hanging="720"/>
        <w:jc w:val="both"/>
      </w:pPr>
      <w:r>
        <w:rPr>
          <w:rFonts w:ascii="Bookman Old Style" w:hAnsi="Bookman Old Style" w:cs="Bookman Old Style"/>
          <w:sz w:val="22"/>
        </w:rPr>
        <w:t>Morrison, K. A., Robbins, H. H., &amp; Rose, D. G. (2008). Operationalizing culturally relevant pedagogy: A synthesis of classroom-based research. Equity &amp; Excellence in Education, 41(4), 433–452. doi: 10.1080/10665680802400006</w:t>
      </w:r>
    </w:p>
    <w:p w14:paraId="03F41086" w14:textId="77777777" w:rsidR="00450D29" w:rsidRDefault="00000000">
      <w:pPr>
        <w:spacing w:after="240" w:line="276" w:lineRule="auto"/>
        <w:ind w:left="720" w:hanging="720"/>
        <w:jc w:val="both"/>
      </w:pPr>
      <w:r>
        <w:rPr>
          <w:rFonts w:ascii="Bookman Old Style" w:hAnsi="Bookman Old Style" w:cs="Bookman Old Style"/>
          <w:sz w:val="22"/>
        </w:rPr>
        <w:t>Paris, D. (2012). Culturally sustaining pedagogy: A needed change in stance, terminology, and practice. Educational Researcher, 41(3), 93–97. doi: 10.3102/0013189X12441244</w:t>
      </w:r>
    </w:p>
    <w:p w14:paraId="452A9682" w14:textId="77777777" w:rsidR="00450D29" w:rsidRDefault="00000000">
      <w:pPr>
        <w:spacing w:after="240" w:line="276" w:lineRule="auto"/>
        <w:ind w:left="720" w:hanging="720"/>
        <w:jc w:val="both"/>
      </w:pPr>
      <w:r>
        <w:rPr>
          <w:rFonts w:ascii="Bookman Old Style" w:hAnsi="Bookman Old Style" w:cs="Bookman Old Style"/>
          <w:sz w:val="22"/>
        </w:rPr>
        <w:lastRenderedPageBreak/>
        <w:t>Paris, D., &amp; Alim, H. S. (2014). What are we seeking to sustain through culturally sustaining pedagogy? A loving critique forward. Harvard Educational Review, 84(1), 85–100. doi: 10.17763/haer.84.1.982l873k2ht16m77</w:t>
      </w:r>
    </w:p>
    <w:p w14:paraId="0DDCCB0D" w14:textId="77777777" w:rsidR="00450D29" w:rsidRDefault="00000000">
      <w:pPr>
        <w:spacing w:after="240" w:line="276" w:lineRule="auto"/>
        <w:ind w:left="720" w:hanging="720"/>
        <w:jc w:val="both"/>
      </w:pPr>
      <w:r>
        <w:rPr>
          <w:rFonts w:ascii="Bookman Old Style" w:hAnsi="Bookman Old Style" w:cs="Bookman Old Style"/>
          <w:sz w:val="22"/>
        </w:rPr>
        <w:t>Rasna, I. W., &amp; Tantra, D. K. (2017). Reconstruction of local wisdom for character education through the Indonesian language learning: An ethno-pedagogical methodology. Theory and Practice in Language Studies, 7(12), 1229–1235. doi: 10.17507/tpls.0712.09</w:t>
      </w:r>
    </w:p>
    <w:p w14:paraId="6A6672AF" w14:textId="77777777" w:rsidR="00450D29" w:rsidRDefault="00000000">
      <w:pPr>
        <w:spacing w:after="240" w:line="276" w:lineRule="auto"/>
        <w:ind w:left="720" w:hanging="720"/>
        <w:jc w:val="both"/>
      </w:pPr>
      <w:r>
        <w:rPr>
          <w:rFonts w:ascii="Bookman Old Style" w:hAnsi="Bookman Old Style" w:cs="Bookman Old Style"/>
          <w:sz w:val="22"/>
        </w:rPr>
        <w:t>Sercu, L. (2006). The foreign language and intercultural competence teacher: The acquisition of a new professional identity. Intercultural Education, 17(1), 55–72. doi: 10.1080/14675980500502321</w:t>
      </w:r>
    </w:p>
    <w:p w14:paraId="774A8FEB" w14:textId="77777777" w:rsidR="00450D29" w:rsidRDefault="00000000">
      <w:pPr>
        <w:spacing w:after="240" w:line="276" w:lineRule="auto"/>
        <w:ind w:left="720" w:hanging="720"/>
        <w:jc w:val="both"/>
      </w:pPr>
      <w:r>
        <w:rPr>
          <w:rFonts w:ascii="Bookman Old Style" w:hAnsi="Bookman Old Style" w:cs="Bookman Old Style"/>
          <w:sz w:val="22"/>
        </w:rPr>
        <w:t>Setyono, B., &amp; Widodo, H. P. (2019). The representation of multicultural values in the Indonesian Ministry of Education and Culture-endorsed EFL textbook: A critical discourse analysis. Intercultural Education, 30(4), 383–397. doi: 10.1080/14675986.2019.1548102</w:t>
      </w:r>
    </w:p>
    <w:p w14:paraId="02801D3E" w14:textId="77777777" w:rsidR="00450D29" w:rsidRDefault="00000000">
      <w:pPr>
        <w:spacing w:after="240" w:line="276" w:lineRule="auto"/>
        <w:ind w:left="720" w:hanging="720"/>
        <w:jc w:val="both"/>
      </w:pPr>
      <w:r>
        <w:rPr>
          <w:rFonts w:ascii="Bookman Old Style" w:hAnsi="Bookman Old Style" w:cs="Bookman Old Style"/>
          <w:sz w:val="22"/>
        </w:rPr>
        <w:t>Shin, J., Eslami, Z. R., &amp; Chen, W. C. (2011). Presentation of local and international culture in current international English-language teaching textbooks. Language, Culture and Curriculum, 24(3), 253–268. doi: 10.1080/07908318.2011.614694</w:t>
      </w:r>
    </w:p>
    <w:p w14:paraId="07EE722C" w14:textId="77777777" w:rsidR="00450D29" w:rsidRDefault="00000000">
      <w:pPr>
        <w:spacing w:after="240" w:line="276" w:lineRule="auto"/>
        <w:ind w:left="720" w:hanging="720"/>
        <w:jc w:val="both"/>
      </w:pPr>
      <w:r>
        <w:rPr>
          <w:rFonts w:ascii="Bookman Old Style" w:hAnsi="Bookman Old Style" w:cs="Bookman Old Style"/>
          <w:sz w:val="22"/>
        </w:rPr>
        <w:t>Sleeter, C. E. (2012). Confronting the marginalization of culturally responsive pedagogy. Urban Education, 47(3), 562–584. doi: 10.1177/0042085911431472</w:t>
      </w:r>
    </w:p>
    <w:p w14:paraId="619EC0A0" w14:textId="77777777" w:rsidR="00450D29" w:rsidRDefault="00000000">
      <w:pPr>
        <w:spacing w:after="240" w:line="276" w:lineRule="auto"/>
        <w:ind w:left="720" w:hanging="720"/>
        <w:jc w:val="both"/>
      </w:pPr>
      <w:r>
        <w:rPr>
          <w:rFonts w:ascii="Bookman Old Style" w:hAnsi="Bookman Old Style" w:cs="Bookman Old Style"/>
          <w:sz w:val="22"/>
        </w:rPr>
        <w:t>Tajeddin, Z., &amp; Teimournezhad, S. (2015). Exploring the hidden agenda in the representation of culture in international and localized ELT textbooks. The Language Learning Journal, 43(2), 180–193. doi: 10.1080/09571736.2013.869942</w:t>
      </w:r>
    </w:p>
    <w:p w14:paraId="2250A544" w14:textId="77777777" w:rsidR="00450D29" w:rsidRDefault="00000000">
      <w:pPr>
        <w:spacing w:after="240" w:line="276" w:lineRule="auto"/>
        <w:ind w:left="720" w:hanging="720"/>
        <w:jc w:val="both"/>
      </w:pPr>
      <w:r>
        <w:rPr>
          <w:rFonts w:ascii="Bookman Old Style" w:hAnsi="Bookman Old Style" w:cs="Bookman Old Style"/>
          <w:sz w:val="22"/>
        </w:rPr>
        <w:lastRenderedPageBreak/>
        <w:t>Weninger, C., &amp; Kiss, T. (2013). Culture in English as a foreign language textbooks: A semiotic approach. TESOL Quarterly, 47(4), 694–716. doi: 10.1002/tesq.87</w:t>
      </w:r>
    </w:p>
    <w:p w14:paraId="0AE0E285" w14:textId="77777777" w:rsidR="00450D29" w:rsidRDefault="00000000">
      <w:pPr>
        <w:spacing w:after="240" w:line="276" w:lineRule="auto"/>
        <w:ind w:left="720" w:hanging="720"/>
        <w:jc w:val="both"/>
      </w:pPr>
      <w:r>
        <w:rPr>
          <w:rFonts w:ascii="Bookman Old Style" w:hAnsi="Bookman Old Style" w:cs="Bookman Old Style"/>
          <w:sz w:val="22"/>
        </w:rPr>
        <w:t>Yuen, K. M. (2011). The representation of foreign cultures in English textbooks. ELT Journal, 65(4), 458–466. doi: 10.1093/elt/ccq089</w:t>
      </w:r>
    </w:p>
    <w:p w14:paraId="705EC05C" w14:textId="77777777" w:rsidR="00450D29" w:rsidRDefault="00000000">
      <w:pPr>
        <w:spacing w:after="240" w:line="276" w:lineRule="auto"/>
        <w:ind w:left="720" w:hanging="720"/>
        <w:jc w:val="both"/>
      </w:pPr>
      <w:r>
        <w:rPr>
          <w:rFonts w:ascii="Bookman Old Style" w:hAnsi="Bookman Old Style" w:cs="Bookman Old Style"/>
          <w:sz w:val="22"/>
        </w:rPr>
        <w:t>Zein, M. S. (2017). Elementary English education in Indonesia: Policy developments, current practices, and future prospects. English Today, 33(1), 53–59. doi: 10.1017/S0266078416000407</w:t>
      </w:r>
    </w:p>
    <w:sectPr w:rsidR="00450D29" w:rsidSect="00CA4D96">
      <w:headerReference w:type="default" r:id="rId11"/>
      <w:footerReference w:type="even" r:id="rId12"/>
      <w:footerReference w:type="default" r:id="rId13"/>
      <w:headerReference w:type="first" r:id="rId14"/>
      <w:footerReference w:type="first" r:id="rId15"/>
      <w:pgSz w:w="10319" w:h="14572" w:code="13"/>
      <w:pgMar w:top="2041" w:right="1418" w:bottom="1588" w:left="1474" w:header="1134" w:footer="1134" w:gutter="170"/>
      <w:pgNumType w:start="3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1FE10F" w14:textId="77777777" w:rsidR="00AA5E18" w:rsidRDefault="00AA5E18">
      <w:r>
        <w:separator/>
      </w:r>
    </w:p>
  </w:endnote>
  <w:endnote w:type="continuationSeparator" w:id="0">
    <w:p w14:paraId="4C5A8776" w14:textId="77777777" w:rsidR="00AA5E18" w:rsidRDefault="00AA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6C924B" w14:textId="77777777" w:rsidR="00450D29"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32</w:t>
    </w:r>
    <w:r>
      <w:rPr>
        <w:rFonts w:ascii="Bookman Old Style" w:hAnsi="Bookman Old Style" w:cs="Bookman Old Style"/>
        <w:sz w:val="20"/>
      </w:rPr>
      <w:t>3</w:t>
    </w:r>
    <w:r>
      <w:rPr>
        <w:rFonts w:ascii="Bookman Old Style" w:hAnsi="Bookman Old Style" w:cs="Bookman Old Styl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7CEF19" w14:textId="77777777" w:rsidR="00450D29"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32</w:t>
    </w:r>
    <w:r>
      <w:rPr>
        <w:rFonts w:ascii="Bookman Old Style" w:hAnsi="Bookman Old Style" w:cs="Bookman Old Style"/>
        <w:sz w:val="20"/>
      </w:rPr>
      <w:t>2</w:t>
    </w:r>
    <w:r>
      <w:rPr>
        <w:rFonts w:ascii="Bookman Old Style" w:hAnsi="Bookman Old Style" w:cs="Bookman Old Style"/>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7F5AF2" w14:textId="77777777" w:rsidR="00450D29"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32</w:t>
    </w:r>
    <w:r>
      <w:rPr>
        <w:rFonts w:ascii="Bookman Old Style" w:hAnsi="Bookman Old Style" w:cs="Bookman Old Style"/>
        <w:sz w:val="20"/>
      </w:rPr>
      <w:t>2</w:t>
    </w:r>
    <w:r>
      <w:rPr>
        <w:rFonts w:ascii="Bookman Old Style" w:hAnsi="Bookman Old Style" w:cs="Bookman Old Styl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B446D7" w14:textId="77777777" w:rsidR="00AA5E18" w:rsidRPr="004A41B3" w:rsidRDefault="00AA5E18" w:rsidP="004A41B3">
      <w:pPr>
        <w:spacing w:line="360" w:lineRule="auto"/>
        <w:rPr>
          <w:lang w:val="en-US"/>
        </w:rPr>
      </w:pPr>
      <w:r>
        <w:rPr>
          <w:lang w:val="en-US"/>
        </w:rPr>
        <w:t>____________</w:t>
      </w:r>
    </w:p>
  </w:footnote>
  <w:footnote w:type="continuationSeparator" w:id="0">
    <w:p w14:paraId="5C89E691" w14:textId="77777777" w:rsidR="00AA5E18" w:rsidRDefault="00AA5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0CA45" w14:textId="77777777" w:rsidR="00ED1C09" w:rsidRPr="0034505B" w:rsidRDefault="00F90BC3" w:rsidP="00ED1C09">
    <w:pPr>
      <w:pStyle w:val="Header"/>
      <w:tabs>
        <w:tab w:val="clear" w:pos="4320"/>
        <w:tab w:val="clear" w:pos="8640"/>
      </w:tabs>
      <w:spacing w:before="120" w:after="60"/>
      <w:ind w:right="51"/>
      <w:jc w:val="center"/>
      <w:rPr>
        <w:rFonts w:ascii="Book Antiqua" w:hAnsi="Book Antiqua"/>
        <w:i/>
        <w:iCs/>
        <w:sz w:val="18"/>
        <w:szCs w:val="18"/>
      </w:rPr>
    </w:pPr>
    <w:r w:rsidRPr="00F90BC3">
      <w:rPr>
        <w:rFonts w:ascii="Book Antiqua" w:hAnsi="Book Antiqua"/>
        <w:i/>
        <w:iCs/>
        <w:sz w:val="18"/>
        <w:szCs w:val="18"/>
        <w:lang w:val="en-US"/>
      </w:rPr>
      <w:t xml:space="preserve"> </w:t>
    </w:r>
  </w:p>
  <w:p w14:paraId="2B8C8B30" w14:textId="77777777" w:rsidR="00365BBB" w:rsidRPr="0034505B" w:rsidRDefault="00365BBB" w:rsidP="00365BBB">
    <w:pPr>
      <w:pStyle w:val="Header"/>
      <w:tabs>
        <w:tab w:val="clear" w:pos="4320"/>
      </w:tabs>
      <w:ind w:right="51"/>
      <w:jc w:val="center"/>
      <w:rPr>
        <w:rFonts w:ascii="Book Antiqua" w:hAnsi="Book Antiqua"/>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1890FE" w14:textId="77777777" w:rsidR="00C22BC7" w:rsidRDefault="00431029" w:rsidP="00FF6615">
    <w:pPr>
      <w:pStyle w:val="Header"/>
    </w:pPr>
    <w:r>
      <w:rPr>
        <w:noProof/>
      </w:rPr>
      <w:drawing>
        <wp:anchor distT="0" distB="0" distL="114300" distR="114300" simplePos="0" relativeHeight="251657728" behindDoc="0" locked="0" layoutInCell="1" allowOverlap="1" wp14:anchorId="13B8D73F" wp14:editId="352636E6">
          <wp:simplePos x="0" y="0"/>
          <wp:positionH relativeFrom="column">
            <wp:posOffset>-968375</wp:posOffset>
          </wp:positionH>
          <wp:positionV relativeFrom="paragraph">
            <wp:posOffset>-635635</wp:posOffset>
          </wp:positionV>
          <wp:extent cx="6383655" cy="964565"/>
          <wp:effectExtent l="0" t="0" r="0" b="0"/>
          <wp:wrapNone/>
          <wp:docPr id="2087457835" name="Gambar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b="29097"/>
                  <a:stretch>
                    <a:fillRect/>
                  </a:stretch>
                </pic:blipFill>
                <pic:spPr bwMode="auto">
                  <a:xfrm>
                    <a:off x="0" y="0"/>
                    <a:ext cx="6383655" cy="964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F3F5C" w14:textId="77777777" w:rsidR="00B44D61" w:rsidRDefault="00B44D61" w:rsidP="00B44D61">
    <w:pPr>
      <w:pStyle w:val="Header"/>
    </w:pPr>
  </w:p>
  <w:tbl>
    <w:tblPr>
      <w:tblW w:w="9214" w:type="dxa"/>
      <w:tblInd w:w="-1026" w:type="dxa"/>
      <w:tblLook w:val="04A0" w:firstRow="1" w:lastRow="0" w:firstColumn="1" w:lastColumn="0" w:noHBand="0" w:noVBand="1"/>
    </w:tblPr>
    <w:tblGrid>
      <w:gridCol w:w="2552"/>
      <w:gridCol w:w="3456"/>
      <w:gridCol w:w="3206"/>
    </w:tblGrid>
    <w:tr w:rsidR="00304BFC" w14:paraId="28AF4F34" w14:textId="77777777">
      <w:tc>
        <w:tcPr>
          <w:tcW w:w="2552" w:type="dxa"/>
        </w:tcPr>
        <w:p w14:paraId="4AAE7327" w14:textId="77777777" w:rsidR="00304BFC" w:rsidRDefault="00304BFC" w:rsidP="00FF6615">
          <w:pPr>
            <w:pStyle w:val="Header"/>
            <w:rPr>
              <w:rFonts w:ascii="Bookman Old Style" w:hAnsi="Bookman Old Style"/>
              <w:sz w:val="16"/>
              <w:szCs w:val="16"/>
            </w:rPr>
          </w:pPr>
          <w:r>
            <w:rPr>
              <w:rFonts w:ascii="Bookman Old Style" w:hAnsi="Bookman Old Style"/>
              <w:sz w:val="16"/>
              <w:szCs w:val="16"/>
            </w:rPr>
            <w:t>Vol. 3. No. 3, August 2023</w:t>
          </w:r>
        </w:p>
      </w:tc>
      <w:tc>
        <w:tcPr>
          <w:tcW w:w="3456" w:type="dxa"/>
        </w:tcPr>
        <w:p w14:paraId="21848AFE" w14:textId="77777777" w:rsidR="00304BFC" w:rsidRDefault="00304BFC" w:rsidP="00FF6615">
          <w:pPr>
            <w:pStyle w:val="Header"/>
            <w:rPr>
              <w:rFonts w:ascii="Bookman Old Style" w:hAnsi="Bookman Old Style"/>
              <w:sz w:val="16"/>
              <w:szCs w:val="16"/>
            </w:rPr>
          </w:pPr>
        </w:p>
      </w:tc>
      <w:tc>
        <w:tcPr>
          <w:tcW w:w="3206" w:type="dxa"/>
        </w:tcPr>
        <w:p w14:paraId="74D4F45B" w14:textId="77777777" w:rsidR="00304BFC" w:rsidRDefault="00304BFC" w:rsidP="00FF6615">
          <w:pPr>
            <w:pStyle w:val="Header"/>
            <w:rPr>
              <w:rFonts w:ascii="Bookman Old Style" w:hAnsi="Bookman Old Style"/>
              <w:sz w:val="16"/>
              <w:szCs w:val="16"/>
            </w:rPr>
          </w:pPr>
          <w:r>
            <w:rPr>
              <w:rFonts w:ascii="Bookman Old Style" w:hAnsi="Bookman Old Style"/>
              <w:sz w:val="16"/>
              <w:szCs w:val="16"/>
            </w:rPr>
            <w:t>E ISSN: 2</w:t>
          </w:r>
          <w:r>
            <w:rPr>
              <w:rFonts w:ascii="Bookman Old Style" w:hAnsi="Bookman Old Style"/>
              <w:sz w:val="16"/>
              <w:szCs w:val="16"/>
              <w:shd w:val="clear" w:color="auto" w:fill="FFFFFF"/>
            </w:rPr>
            <w:t>775-3484</w:t>
          </w:r>
        </w:p>
      </w:tc>
    </w:tr>
    <w:tr w:rsidR="0091005A" w14:paraId="70DEEEB6" w14:textId="77777777">
      <w:tc>
        <w:tcPr>
          <w:tcW w:w="2552" w:type="dxa"/>
        </w:tcPr>
        <w:p w14:paraId="687E5960" w14:textId="61FAD12E" w:rsidR="0091005A" w:rsidRDefault="0091005A" w:rsidP="00FF6615">
          <w:pPr>
            <w:pStyle w:val="Header"/>
            <w:rPr>
              <w:rFonts w:ascii="Bookman Old Style" w:hAnsi="Bookman Old Style"/>
              <w:sz w:val="16"/>
              <w:szCs w:val="16"/>
            </w:rPr>
          </w:pPr>
          <w:r>
            <w:rPr>
              <w:rFonts w:ascii="Bookman Old Style" w:hAnsi="Bookman Old Style"/>
              <w:sz w:val="16"/>
              <w:szCs w:val="16"/>
            </w:rPr>
            <w:t>DOI: 10.53768/sijel.v3i3.</w:t>
          </w:r>
          <w:r w:rsidR="004C1640">
            <w:rPr>
              <w:rFonts w:ascii="Bookman Old Style" w:hAnsi="Bookman Old Style"/>
              <w:sz w:val="16"/>
              <w:szCs w:val="16"/>
            </w:rPr>
            <w:t>193</w:t>
          </w:r>
        </w:p>
      </w:tc>
      <w:tc>
        <w:tcPr>
          <w:tcW w:w="3456" w:type="dxa"/>
        </w:tcPr>
        <w:p w14:paraId="5237AFC2" w14:textId="77777777" w:rsidR="0091005A" w:rsidRDefault="0091005A" w:rsidP="00FF6615">
          <w:pPr>
            <w:pStyle w:val="Header"/>
            <w:rPr>
              <w:rFonts w:ascii="Bookman Old Style" w:hAnsi="Bookman Old Style"/>
              <w:sz w:val="16"/>
              <w:szCs w:val="16"/>
            </w:rPr>
          </w:pPr>
        </w:p>
      </w:tc>
      <w:tc>
        <w:tcPr>
          <w:tcW w:w="3206" w:type="dxa"/>
        </w:tcPr>
        <w:p w14:paraId="3D5E974B" w14:textId="77777777" w:rsidR="0091005A" w:rsidRDefault="0091005A" w:rsidP="00FF6615">
          <w:pPr>
            <w:pStyle w:val="Header"/>
            <w:rPr>
              <w:rFonts w:ascii="Bookman Old Style" w:hAnsi="Bookman Old Style"/>
              <w:sz w:val="16"/>
              <w:szCs w:val="16"/>
            </w:rPr>
          </w:pPr>
        </w:p>
      </w:tc>
    </w:tr>
  </w:tbl>
  <w:p w14:paraId="3378AD7C" w14:textId="77777777" w:rsidR="00B44D61" w:rsidRPr="009D28AA" w:rsidRDefault="00304BFC" w:rsidP="00FF6615">
    <w:pPr>
      <w:pStyle w:val="Header"/>
      <w:rPr>
        <w:rFonts w:ascii="Bookman Old Style" w:hAnsi="Bookman Old Style"/>
        <w:sz w:val="16"/>
        <w:szCs w:val="16"/>
      </w:rPr>
    </w:pPr>
    <w:r>
      <w:rPr>
        <w:rFonts w:ascii="Bookman Old Style" w:hAnsi="Bookman Old Style"/>
        <w:sz w:val="16"/>
        <w:szCs w:val="16"/>
      </w:rPr>
      <w:tab/>
    </w:r>
    <w:r>
      <w:rPr>
        <w:rFonts w:ascii="Bookman Old Style" w:hAnsi="Bookman Old Style"/>
        <w:sz w:val="16"/>
        <w:szCs w:val="16"/>
      </w:rPr>
      <w:tab/>
    </w:r>
    <w:r>
      <w:rPr>
        <w:rFonts w:ascii="Bookman Old Style" w:hAnsi="Bookman Old Style"/>
        <w:sz w:val="16"/>
        <w:szCs w:val="16"/>
      </w:rPr>
      <w:tab/>
    </w:r>
    <w:r>
      <w:rPr>
        <w:rFonts w:ascii="Bookman Old Style" w:hAnsi="Bookman Old Style"/>
        <w:sz w:val="16"/>
        <w:szCs w:val="16"/>
      </w:rPr>
      <w:tab/>
    </w:r>
  </w:p>
  <w:p w14:paraId="37A44125" w14:textId="77777777" w:rsidR="00B44D61" w:rsidRPr="009D28AA" w:rsidRDefault="00B44D61" w:rsidP="00B44D61">
    <w:pPr>
      <w:pStyle w:val="Header"/>
      <w:tabs>
        <w:tab w:val="clear" w:pos="4320"/>
      </w:tabs>
      <w:rPr>
        <w:rFonts w:ascii="Bookman Old Style" w:hAnsi="Bookman Old Style"/>
        <w:sz w:val="16"/>
        <w:szCs w:val="16"/>
      </w:rPr>
    </w:pPr>
    <w:r w:rsidRPr="009D28AA">
      <w:rPr>
        <w:rFonts w:ascii="Bookman Old Style" w:hAnsi="Bookman Old Style"/>
        <w:sz w:val="16"/>
        <w:szCs w:val="16"/>
      </w:rPr>
      <w:t xml:space="preserve">                                                    </w:t>
    </w:r>
    <w:r w:rsidR="00721FF1" w:rsidRPr="009D28AA">
      <w:rPr>
        <w:rFonts w:ascii="Bookman Old Style" w:hAnsi="Bookman Old Style"/>
        <w:sz w:val="16"/>
        <w:szCs w:val="16"/>
      </w:rPr>
      <w:t xml:space="preserve">      </w:t>
    </w:r>
    <w:r w:rsidR="002D1D8E" w:rsidRPr="009D28AA">
      <w:rPr>
        <w:rFonts w:ascii="Bookman Old Style" w:hAnsi="Bookman Old Style"/>
        <w:sz w:val="16"/>
        <w:szCs w:val="16"/>
      </w:rPr>
      <w:t xml:space="preserve">            </w:t>
    </w:r>
    <w:r w:rsidR="009D28AA">
      <w:rPr>
        <w:rFonts w:ascii="Bookman Old Style" w:hAnsi="Bookman Old Style"/>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F7B1437"/>
    <w:multiLevelType w:val="hybridMultilevel"/>
    <w:tmpl w:val="339EADF4"/>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40886991"/>
    <w:multiLevelType w:val="hybridMultilevel"/>
    <w:tmpl w:val="3CC00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887341"/>
    <w:multiLevelType w:val="hybridMultilevel"/>
    <w:tmpl w:val="798665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887440">
    <w:abstractNumId w:val="3"/>
  </w:num>
  <w:num w:numId="2" w16cid:durableId="754059634">
    <w:abstractNumId w:val="0"/>
  </w:num>
  <w:num w:numId="3" w16cid:durableId="157892374">
    <w:abstractNumId w:val="2"/>
  </w:num>
  <w:num w:numId="4" w16cid:durableId="20777818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0NTW0tDAxNDEwMzBT0lEKTi0uzszPAymwqAUAZhyU3SwAAAA="/>
  </w:docVars>
  <w:rsids>
    <w:rsidRoot w:val="00365BBB"/>
    <w:rsid w:val="000016C5"/>
    <w:rsid w:val="00001E87"/>
    <w:rsid w:val="00004A68"/>
    <w:rsid w:val="00007B57"/>
    <w:rsid w:val="00010230"/>
    <w:rsid w:val="00010EAA"/>
    <w:rsid w:val="000224BC"/>
    <w:rsid w:val="000337C9"/>
    <w:rsid w:val="00045CB3"/>
    <w:rsid w:val="0005044C"/>
    <w:rsid w:val="0005047B"/>
    <w:rsid w:val="00055A96"/>
    <w:rsid w:val="00061E13"/>
    <w:rsid w:val="00062714"/>
    <w:rsid w:val="000767FF"/>
    <w:rsid w:val="00094EE7"/>
    <w:rsid w:val="000A0615"/>
    <w:rsid w:val="000A3FF3"/>
    <w:rsid w:val="000A4688"/>
    <w:rsid w:val="000B1164"/>
    <w:rsid w:val="000B15B3"/>
    <w:rsid w:val="000B2EB1"/>
    <w:rsid w:val="000D0A32"/>
    <w:rsid w:val="000D1BC8"/>
    <w:rsid w:val="000E6EA9"/>
    <w:rsid w:val="000F4122"/>
    <w:rsid w:val="001122FC"/>
    <w:rsid w:val="00113C47"/>
    <w:rsid w:val="00121D05"/>
    <w:rsid w:val="0012373C"/>
    <w:rsid w:val="00127B3D"/>
    <w:rsid w:val="001429A8"/>
    <w:rsid w:val="001500EC"/>
    <w:rsid w:val="00157389"/>
    <w:rsid w:val="001575CF"/>
    <w:rsid w:val="00157914"/>
    <w:rsid w:val="001615D3"/>
    <w:rsid w:val="00163DC2"/>
    <w:rsid w:val="001677AD"/>
    <w:rsid w:val="0017043B"/>
    <w:rsid w:val="00170F6F"/>
    <w:rsid w:val="00175D36"/>
    <w:rsid w:val="0018016D"/>
    <w:rsid w:val="00184A04"/>
    <w:rsid w:val="00191AA8"/>
    <w:rsid w:val="00191BC9"/>
    <w:rsid w:val="001A3CAC"/>
    <w:rsid w:val="001B1A8B"/>
    <w:rsid w:val="001B22A3"/>
    <w:rsid w:val="001C0D8F"/>
    <w:rsid w:val="001C7056"/>
    <w:rsid w:val="001C7256"/>
    <w:rsid w:val="001E0711"/>
    <w:rsid w:val="001E0AB5"/>
    <w:rsid w:val="001F3675"/>
    <w:rsid w:val="001F6681"/>
    <w:rsid w:val="002073BF"/>
    <w:rsid w:val="00213B99"/>
    <w:rsid w:val="00220266"/>
    <w:rsid w:val="002222A6"/>
    <w:rsid w:val="0023691C"/>
    <w:rsid w:val="002423AC"/>
    <w:rsid w:val="002427E5"/>
    <w:rsid w:val="002436ED"/>
    <w:rsid w:val="00245B36"/>
    <w:rsid w:val="0025136A"/>
    <w:rsid w:val="002679D3"/>
    <w:rsid w:val="00274990"/>
    <w:rsid w:val="00275A80"/>
    <w:rsid w:val="00277F40"/>
    <w:rsid w:val="00283947"/>
    <w:rsid w:val="002B25FA"/>
    <w:rsid w:val="002C0188"/>
    <w:rsid w:val="002D1D8E"/>
    <w:rsid w:val="002D48B9"/>
    <w:rsid w:val="002E0891"/>
    <w:rsid w:val="002E16B4"/>
    <w:rsid w:val="002E2496"/>
    <w:rsid w:val="002E4DE4"/>
    <w:rsid w:val="002E6368"/>
    <w:rsid w:val="002F2413"/>
    <w:rsid w:val="002F606A"/>
    <w:rsid w:val="003008EF"/>
    <w:rsid w:val="00303A01"/>
    <w:rsid w:val="00304BFC"/>
    <w:rsid w:val="003119BF"/>
    <w:rsid w:val="00313EF9"/>
    <w:rsid w:val="00320300"/>
    <w:rsid w:val="003210CB"/>
    <w:rsid w:val="003313E5"/>
    <w:rsid w:val="00334CD6"/>
    <w:rsid w:val="0034261C"/>
    <w:rsid w:val="0034505B"/>
    <w:rsid w:val="00345C33"/>
    <w:rsid w:val="00346AA5"/>
    <w:rsid w:val="003556AA"/>
    <w:rsid w:val="00356DE4"/>
    <w:rsid w:val="00365BBB"/>
    <w:rsid w:val="0037577C"/>
    <w:rsid w:val="003816E2"/>
    <w:rsid w:val="00384984"/>
    <w:rsid w:val="00392758"/>
    <w:rsid w:val="00397E1A"/>
    <w:rsid w:val="003A136F"/>
    <w:rsid w:val="003C2284"/>
    <w:rsid w:val="003C2383"/>
    <w:rsid w:val="003C39D7"/>
    <w:rsid w:val="003C3F5F"/>
    <w:rsid w:val="003C7892"/>
    <w:rsid w:val="003D714F"/>
    <w:rsid w:val="003F1FFE"/>
    <w:rsid w:val="00401312"/>
    <w:rsid w:val="00404C79"/>
    <w:rsid w:val="00411077"/>
    <w:rsid w:val="0041582F"/>
    <w:rsid w:val="00417033"/>
    <w:rsid w:val="00421DBF"/>
    <w:rsid w:val="00427FB9"/>
    <w:rsid w:val="00431029"/>
    <w:rsid w:val="0043241C"/>
    <w:rsid w:val="0044488E"/>
    <w:rsid w:val="00450114"/>
    <w:rsid w:val="00450D29"/>
    <w:rsid w:val="0045690E"/>
    <w:rsid w:val="00456D9A"/>
    <w:rsid w:val="00462EFF"/>
    <w:rsid w:val="004666FA"/>
    <w:rsid w:val="00471380"/>
    <w:rsid w:val="004741FC"/>
    <w:rsid w:val="00476CED"/>
    <w:rsid w:val="0048238D"/>
    <w:rsid w:val="004926B4"/>
    <w:rsid w:val="004A41B3"/>
    <w:rsid w:val="004A537B"/>
    <w:rsid w:val="004A7478"/>
    <w:rsid w:val="004B601A"/>
    <w:rsid w:val="004B738A"/>
    <w:rsid w:val="004B79AB"/>
    <w:rsid w:val="004C1418"/>
    <w:rsid w:val="004C1640"/>
    <w:rsid w:val="004D1AD1"/>
    <w:rsid w:val="004D6942"/>
    <w:rsid w:val="004E0B93"/>
    <w:rsid w:val="004E1F66"/>
    <w:rsid w:val="004E206B"/>
    <w:rsid w:val="004F53D3"/>
    <w:rsid w:val="004F5D75"/>
    <w:rsid w:val="00501662"/>
    <w:rsid w:val="00507320"/>
    <w:rsid w:val="005075E1"/>
    <w:rsid w:val="00510DE4"/>
    <w:rsid w:val="00530909"/>
    <w:rsid w:val="00534576"/>
    <w:rsid w:val="005432BC"/>
    <w:rsid w:val="005479B7"/>
    <w:rsid w:val="005517F9"/>
    <w:rsid w:val="00557C18"/>
    <w:rsid w:val="00565CFE"/>
    <w:rsid w:val="005675D0"/>
    <w:rsid w:val="00570197"/>
    <w:rsid w:val="00586815"/>
    <w:rsid w:val="00591D32"/>
    <w:rsid w:val="00595E6C"/>
    <w:rsid w:val="005A00B3"/>
    <w:rsid w:val="005A7476"/>
    <w:rsid w:val="005B0EFF"/>
    <w:rsid w:val="005C498C"/>
    <w:rsid w:val="005D3033"/>
    <w:rsid w:val="005D7475"/>
    <w:rsid w:val="005E3A6F"/>
    <w:rsid w:val="005E5E8E"/>
    <w:rsid w:val="005F07A2"/>
    <w:rsid w:val="005F5CFB"/>
    <w:rsid w:val="00601855"/>
    <w:rsid w:val="00613827"/>
    <w:rsid w:val="0061462F"/>
    <w:rsid w:val="00621CF1"/>
    <w:rsid w:val="006237FA"/>
    <w:rsid w:val="00625109"/>
    <w:rsid w:val="00626866"/>
    <w:rsid w:val="00631479"/>
    <w:rsid w:val="00657944"/>
    <w:rsid w:val="00660F9E"/>
    <w:rsid w:val="006717D7"/>
    <w:rsid w:val="00676CDF"/>
    <w:rsid w:val="00685200"/>
    <w:rsid w:val="00685A02"/>
    <w:rsid w:val="00692C32"/>
    <w:rsid w:val="00692D99"/>
    <w:rsid w:val="00697BEF"/>
    <w:rsid w:val="006B458C"/>
    <w:rsid w:val="006C1C82"/>
    <w:rsid w:val="006C1D12"/>
    <w:rsid w:val="006C7294"/>
    <w:rsid w:val="006C7DC8"/>
    <w:rsid w:val="006D1320"/>
    <w:rsid w:val="006D2C7D"/>
    <w:rsid w:val="006D3323"/>
    <w:rsid w:val="006D3402"/>
    <w:rsid w:val="006D4856"/>
    <w:rsid w:val="006E0524"/>
    <w:rsid w:val="006E14DD"/>
    <w:rsid w:val="006E1CBD"/>
    <w:rsid w:val="006E532F"/>
    <w:rsid w:val="006E6A57"/>
    <w:rsid w:val="006F0E69"/>
    <w:rsid w:val="006F291A"/>
    <w:rsid w:val="00700DD4"/>
    <w:rsid w:val="00700ED7"/>
    <w:rsid w:val="00701BF1"/>
    <w:rsid w:val="00715218"/>
    <w:rsid w:val="00721FF1"/>
    <w:rsid w:val="00750E16"/>
    <w:rsid w:val="007514AC"/>
    <w:rsid w:val="00752F00"/>
    <w:rsid w:val="00754627"/>
    <w:rsid w:val="00760472"/>
    <w:rsid w:val="00772A10"/>
    <w:rsid w:val="00774F53"/>
    <w:rsid w:val="00791D54"/>
    <w:rsid w:val="00791FF7"/>
    <w:rsid w:val="00797C9F"/>
    <w:rsid w:val="007A3432"/>
    <w:rsid w:val="007B0447"/>
    <w:rsid w:val="007B2C82"/>
    <w:rsid w:val="007B6D3C"/>
    <w:rsid w:val="007D43A7"/>
    <w:rsid w:val="007D490B"/>
    <w:rsid w:val="007D4B4A"/>
    <w:rsid w:val="007D7C5C"/>
    <w:rsid w:val="007E6C4E"/>
    <w:rsid w:val="007F0124"/>
    <w:rsid w:val="007F0726"/>
    <w:rsid w:val="007F78CD"/>
    <w:rsid w:val="0080147F"/>
    <w:rsid w:val="00806E72"/>
    <w:rsid w:val="008170E5"/>
    <w:rsid w:val="00831B26"/>
    <w:rsid w:val="00831D4C"/>
    <w:rsid w:val="00836366"/>
    <w:rsid w:val="00842721"/>
    <w:rsid w:val="00856BB7"/>
    <w:rsid w:val="00863C57"/>
    <w:rsid w:val="008801FE"/>
    <w:rsid w:val="008900B5"/>
    <w:rsid w:val="00891EA7"/>
    <w:rsid w:val="00893135"/>
    <w:rsid w:val="00893420"/>
    <w:rsid w:val="0089353B"/>
    <w:rsid w:val="008A1515"/>
    <w:rsid w:val="008A2566"/>
    <w:rsid w:val="008A3308"/>
    <w:rsid w:val="008A7E31"/>
    <w:rsid w:val="008B369C"/>
    <w:rsid w:val="008B4396"/>
    <w:rsid w:val="008B458F"/>
    <w:rsid w:val="008B4F19"/>
    <w:rsid w:val="008B76C9"/>
    <w:rsid w:val="008D4D34"/>
    <w:rsid w:val="008D52F7"/>
    <w:rsid w:val="008E29C6"/>
    <w:rsid w:val="008E62F2"/>
    <w:rsid w:val="008E6B2F"/>
    <w:rsid w:val="008F7282"/>
    <w:rsid w:val="00904E19"/>
    <w:rsid w:val="0091005A"/>
    <w:rsid w:val="00920CAD"/>
    <w:rsid w:val="009214CE"/>
    <w:rsid w:val="009245B6"/>
    <w:rsid w:val="009247EB"/>
    <w:rsid w:val="00926D4D"/>
    <w:rsid w:val="00930509"/>
    <w:rsid w:val="009313BD"/>
    <w:rsid w:val="00946699"/>
    <w:rsid w:val="00946AE1"/>
    <w:rsid w:val="00957F6F"/>
    <w:rsid w:val="00981048"/>
    <w:rsid w:val="00984ACB"/>
    <w:rsid w:val="00991999"/>
    <w:rsid w:val="00993CCF"/>
    <w:rsid w:val="00997B54"/>
    <w:rsid w:val="009A1143"/>
    <w:rsid w:val="009A5CAA"/>
    <w:rsid w:val="009B4EAC"/>
    <w:rsid w:val="009B6FD1"/>
    <w:rsid w:val="009C4242"/>
    <w:rsid w:val="009D28AA"/>
    <w:rsid w:val="009E2BAD"/>
    <w:rsid w:val="009E6EDC"/>
    <w:rsid w:val="009F2E3B"/>
    <w:rsid w:val="009F3C0D"/>
    <w:rsid w:val="00A00CFC"/>
    <w:rsid w:val="00A00EE7"/>
    <w:rsid w:val="00A02531"/>
    <w:rsid w:val="00A062E7"/>
    <w:rsid w:val="00A11E90"/>
    <w:rsid w:val="00A13FF8"/>
    <w:rsid w:val="00A20274"/>
    <w:rsid w:val="00A24B82"/>
    <w:rsid w:val="00A279E4"/>
    <w:rsid w:val="00A32BD2"/>
    <w:rsid w:val="00A40AA3"/>
    <w:rsid w:val="00A605AF"/>
    <w:rsid w:val="00A636C8"/>
    <w:rsid w:val="00A6699B"/>
    <w:rsid w:val="00A70B6B"/>
    <w:rsid w:val="00A746A9"/>
    <w:rsid w:val="00A81400"/>
    <w:rsid w:val="00A82C81"/>
    <w:rsid w:val="00AA5E18"/>
    <w:rsid w:val="00AB2A14"/>
    <w:rsid w:val="00AC1F31"/>
    <w:rsid w:val="00AC56D0"/>
    <w:rsid w:val="00AD625D"/>
    <w:rsid w:val="00AD711C"/>
    <w:rsid w:val="00AE252B"/>
    <w:rsid w:val="00AF2A62"/>
    <w:rsid w:val="00B04539"/>
    <w:rsid w:val="00B07C3D"/>
    <w:rsid w:val="00B14E62"/>
    <w:rsid w:val="00B15EBB"/>
    <w:rsid w:val="00B20DCE"/>
    <w:rsid w:val="00B25B4B"/>
    <w:rsid w:val="00B272E5"/>
    <w:rsid w:val="00B30273"/>
    <w:rsid w:val="00B31472"/>
    <w:rsid w:val="00B4323B"/>
    <w:rsid w:val="00B44D61"/>
    <w:rsid w:val="00B50211"/>
    <w:rsid w:val="00B5132C"/>
    <w:rsid w:val="00B52938"/>
    <w:rsid w:val="00B5565A"/>
    <w:rsid w:val="00B56A4D"/>
    <w:rsid w:val="00B60F14"/>
    <w:rsid w:val="00B66382"/>
    <w:rsid w:val="00B712DC"/>
    <w:rsid w:val="00B73E55"/>
    <w:rsid w:val="00B751A0"/>
    <w:rsid w:val="00B949CB"/>
    <w:rsid w:val="00B97F8B"/>
    <w:rsid w:val="00BA2613"/>
    <w:rsid w:val="00BA270B"/>
    <w:rsid w:val="00BB08FE"/>
    <w:rsid w:val="00BB193E"/>
    <w:rsid w:val="00BB1E50"/>
    <w:rsid w:val="00BB3E52"/>
    <w:rsid w:val="00BD053B"/>
    <w:rsid w:val="00BF1EC6"/>
    <w:rsid w:val="00BF6F8A"/>
    <w:rsid w:val="00BF7531"/>
    <w:rsid w:val="00C01804"/>
    <w:rsid w:val="00C076BF"/>
    <w:rsid w:val="00C10C5F"/>
    <w:rsid w:val="00C17096"/>
    <w:rsid w:val="00C228F1"/>
    <w:rsid w:val="00C22BC7"/>
    <w:rsid w:val="00C371FF"/>
    <w:rsid w:val="00C436A3"/>
    <w:rsid w:val="00C43749"/>
    <w:rsid w:val="00C4582D"/>
    <w:rsid w:val="00C4672F"/>
    <w:rsid w:val="00C67774"/>
    <w:rsid w:val="00C76F40"/>
    <w:rsid w:val="00C87EC6"/>
    <w:rsid w:val="00C969E0"/>
    <w:rsid w:val="00CA4D96"/>
    <w:rsid w:val="00CB6385"/>
    <w:rsid w:val="00CB7A66"/>
    <w:rsid w:val="00CC281E"/>
    <w:rsid w:val="00CC6071"/>
    <w:rsid w:val="00CD580D"/>
    <w:rsid w:val="00CE7E7C"/>
    <w:rsid w:val="00D02C44"/>
    <w:rsid w:val="00D07F68"/>
    <w:rsid w:val="00D12C24"/>
    <w:rsid w:val="00D1485D"/>
    <w:rsid w:val="00D35551"/>
    <w:rsid w:val="00D42540"/>
    <w:rsid w:val="00D46487"/>
    <w:rsid w:val="00D46489"/>
    <w:rsid w:val="00D53811"/>
    <w:rsid w:val="00D6181B"/>
    <w:rsid w:val="00D6244D"/>
    <w:rsid w:val="00D725FD"/>
    <w:rsid w:val="00D7564A"/>
    <w:rsid w:val="00D81467"/>
    <w:rsid w:val="00D837A4"/>
    <w:rsid w:val="00D857DD"/>
    <w:rsid w:val="00DB57B0"/>
    <w:rsid w:val="00DB7E9B"/>
    <w:rsid w:val="00DC0150"/>
    <w:rsid w:val="00DC4402"/>
    <w:rsid w:val="00DC5066"/>
    <w:rsid w:val="00DC7B8C"/>
    <w:rsid w:val="00DD39ED"/>
    <w:rsid w:val="00DE01D2"/>
    <w:rsid w:val="00DE3B61"/>
    <w:rsid w:val="00DE44F3"/>
    <w:rsid w:val="00DE6475"/>
    <w:rsid w:val="00DF04C4"/>
    <w:rsid w:val="00DF7523"/>
    <w:rsid w:val="00E05E25"/>
    <w:rsid w:val="00E17553"/>
    <w:rsid w:val="00E24E8B"/>
    <w:rsid w:val="00E41684"/>
    <w:rsid w:val="00E5119D"/>
    <w:rsid w:val="00E54942"/>
    <w:rsid w:val="00E56DD8"/>
    <w:rsid w:val="00E623F9"/>
    <w:rsid w:val="00E76390"/>
    <w:rsid w:val="00E8414D"/>
    <w:rsid w:val="00EA5AE4"/>
    <w:rsid w:val="00EA6C9D"/>
    <w:rsid w:val="00EA7415"/>
    <w:rsid w:val="00EA7C8F"/>
    <w:rsid w:val="00EB0CCF"/>
    <w:rsid w:val="00EB6058"/>
    <w:rsid w:val="00EB787E"/>
    <w:rsid w:val="00EC07F4"/>
    <w:rsid w:val="00EC69FF"/>
    <w:rsid w:val="00EC7A18"/>
    <w:rsid w:val="00ED1C09"/>
    <w:rsid w:val="00ED58D6"/>
    <w:rsid w:val="00ED7B27"/>
    <w:rsid w:val="00EF1796"/>
    <w:rsid w:val="00F02836"/>
    <w:rsid w:val="00F04560"/>
    <w:rsid w:val="00F12A7E"/>
    <w:rsid w:val="00F134B7"/>
    <w:rsid w:val="00F14AD6"/>
    <w:rsid w:val="00F20A17"/>
    <w:rsid w:val="00F24B10"/>
    <w:rsid w:val="00F24C04"/>
    <w:rsid w:val="00F30025"/>
    <w:rsid w:val="00F409D6"/>
    <w:rsid w:val="00F50308"/>
    <w:rsid w:val="00F5211F"/>
    <w:rsid w:val="00F53D56"/>
    <w:rsid w:val="00F57025"/>
    <w:rsid w:val="00F576C0"/>
    <w:rsid w:val="00F578DC"/>
    <w:rsid w:val="00F657CF"/>
    <w:rsid w:val="00F71B72"/>
    <w:rsid w:val="00F71CBB"/>
    <w:rsid w:val="00F743AC"/>
    <w:rsid w:val="00F76FB1"/>
    <w:rsid w:val="00F772B1"/>
    <w:rsid w:val="00F77BE5"/>
    <w:rsid w:val="00F811E7"/>
    <w:rsid w:val="00F82FDF"/>
    <w:rsid w:val="00F90BC3"/>
    <w:rsid w:val="00F97B96"/>
    <w:rsid w:val="00FA1CBE"/>
    <w:rsid w:val="00FB1CD4"/>
    <w:rsid w:val="00FC7A6E"/>
    <w:rsid w:val="00FD23B4"/>
    <w:rsid w:val="00FD59E6"/>
    <w:rsid w:val="00FE0E92"/>
    <w:rsid w:val="00FE285A"/>
    <w:rsid w:val="00FE4CEB"/>
    <w:rsid w:val="00FE6E57"/>
    <w:rsid w:val="00FE76B0"/>
    <w:rsid w:val="00FF66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ECCF63"/>
  <w15:chartTrackingRefBased/>
  <w15:docId w15:val="{327F83F1-5FE2-0241-99CC-1CAC44EC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5BBB"/>
    <w:rPr>
      <w:sz w:val="24"/>
      <w:szCs w:val="24"/>
      <w:lang w:eastAsia="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rsid w:val="00365BBB"/>
    <w:pPr>
      <w:tabs>
        <w:tab w:val="center" w:pos="4320"/>
        <w:tab w:val="right" w:pos="8640"/>
      </w:tabs>
    </w:pPr>
  </w:style>
  <w:style w:type="paragraph" w:styleId="Footer">
    <w:name w:val="footer"/>
    <w:basedOn w:val="Normal"/>
    <w:rsid w:val="00365BBB"/>
    <w:pPr>
      <w:tabs>
        <w:tab w:val="center" w:pos="4320"/>
        <w:tab w:val="right" w:pos="8640"/>
      </w:tabs>
    </w:pPr>
  </w:style>
  <w:style w:type="character" w:customStyle="1" w:styleId="HeaderKAR">
    <w:name w:val="Header KAR"/>
    <w:link w:val="Header"/>
    <w:locked/>
    <w:rsid w:val="00365BBB"/>
    <w:rPr>
      <w:sz w:val="24"/>
      <w:szCs w:val="24"/>
      <w:lang w:val="en-US" w:eastAsia="en-US" w:bidi="ar-SA"/>
    </w:rPr>
  </w:style>
  <w:style w:type="character" w:styleId="NomorHalaman">
    <w:name w:val="page number"/>
    <w:basedOn w:val="FontParagrafDefault"/>
    <w:rsid w:val="00365BBB"/>
  </w:style>
  <w:style w:type="character" w:customStyle="1" w:styleId="hps">
    <w:name w:val="hps"/>
    <w:rsid w:val="00313EF9"/>
    <w:rPr>
      <w:rFonts w:cs="Times New Roman"/>
    </w:rPr>
  </w:style>
  <w:style w:type="paragraph" w:styleId="DaftarParagraf">
    <w:name w:val="List Paragraph"/>
    <w:basedOn w:val="Normal"/>
    <w:uiPriority w:val="34"/>
    <w:qFormat/>
    <w:rsid w:val="00B15EBB"/>
    <w:pPr>
      <w:spacing w:after="200" w:line="276" w:lineRule="auto"/>
      <w:ind w:left="720"/>
    </w:pPr>
    <w:rPr>
      <w:rFonts w:ascii="Calibri" w:hAnsi="Calibri" w:cs="Calibri"/>
      <w:sz w:val="22"/>
      <w:szCs w:val="22"/>
    </w:rPr>
  </w:style>
  <w:style w:type="paragraph" w:styleId="TeksCatatanKaki">
    <w:name w:val="footnote text"/>
    <w:aliases w:val="Char,Char Char Char Char"/>
    <w:basedOn w:val="Normal"/>
    <w:link w:val="TeksCatatanKakiKAR"/>
    <w:semiHidden/>
    <w:rsid w:val="00ED7B27"/>
    <w:rPr>
      <w:sz w:val="20"/>
      <w:szCs w:val="20"/>
    </w:rPr>
  </w:style>
  <w:style w:type="character" w:customStyle="1" w:styleId="TeksCatatanKakiKAR">
    <w:name w:val="Teks Catatan Kaki KAR"/>
    <w:aliases w:val="Char KAR,Char Char Char Char KAR"/>
    <w:link w:val="TeksCatatanKaki"/>
    <w:locked/>
    <w:rsid w:val="00ED7B27"/>
    <w:rPr>
      <w:lang w:val="id-ID" w:eastAsia="en-US" w:bidi="ar-SA"/>
    </w:rPr>
  </w:style>
  <w:style w:type="character" w:customStyle="1" w:styleId="shorttext">
    <w:name w:val="short_text"/>
    <w:basedOn w:val="FontParagrafDefault"/>
    <w:rsid w:val="00F04560"/>
  </w:style>
  <w:style w:type="character" w:styleId="ReferensiCatatanKaki">
    <w:name w:val="footnote reference"/>
    <w:semiHidden/>
    <w:rsid w:val="00C076BF"/>
    <w:rPr>
      <w:vertAlign w:val="superscript"/>
    </w:rPr>
  </w:style>
  <w:style w:type="table" w:styleId="KisiTabel">
    <w:name w:val="Table Grid"/>
    <w:basedOn w:val="TabelNormal"/>
    <w:rsid w:val="008E2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CatatanAkhir">
    <w:name w:val="endnote text"/>
    <w:basedOn w:val="Normal"/>
    <w:semiHidden/>
    <w:rsid w:val="00692D99"/>
    <w:rPr>
      <w:sz w:val="20"/>
      <w:szCs w:val="20"/>
    </w:rPr>
  </w:style>
  <w:style w:type="character" w:styleId="ReferensiCatatanAkhir">
    <w:name w:val="endnote reference"/>
    <w:semiHidden/>
    <w:rsid w:val="00692D99"/>
    <w:rPr>
      <w:vertAlign w:val="superscript"/>
    </w:rPr>
  </w:style>
  <w:style w:type="character" w:styleId="Kuat">
    <w:name w:val="Strong"/>
    <w:qFormat/>
    <w:rsid w:val="00E17553"/>
    <w:rPr>
      <w:b/>
      <w:bCs/>
    </w:rPr>
  </w:style>
  <w:style w:type="character" w:customStyle="1" w:styleId="hpsalt-edited">
    <w:name w:val="hps alt-edited"/>
    <w:basedOn w:val="FontParagrafDefault"/>
    <w:rsid w:val="00BB3E52"/>
  </w:style>
  <w:style w:type="character" w:customStyle="1" w:styleId="hpsatn">
    <w:name w:val="hps atn"/>
    <w:basedOn w:val="FontParagrafDefault"/>
    <w:rsid w:val="00F90BC3"/>
  </w:style>
  <w:style w:type="character" w:styleId="Hyperlink">
    <w:name w:val="Hyperlink"/>
    <w:rsid w:val="00EA6C9D"/>
    <w:rPr>
      <w:color w:val="0000FF"/>
      <w:u w:val="single"/>
    </w:rPr>
  </w:style>
  <w:style w:type="character" w:styleId="Penekanan">
    <w:name w:val="Emphasis"/>
    <w:uiPriority w:val="20"/>
    <w:qFormat/>
    <w:rsid w:val="00B50211"/>
    <w:rPr>
      <w:i/>
      <w:iCs/>
    </w:rPr>
  </w:style>
  <w:style w:type="paragraph" w:styleId="TeksBalon">
    <w:name w:val="Balloon Text"/>
    <w:basedOn w:val="Normal"/>
    <w:link w:val="TeksBalonKAR"/>
    <w:uiPriority w:val="99"/>
    <w:unhideWhenUsed/>
    <w:rsid w:val="00A746A9"/>
    <w:pPr>
      <w:contextualSpacing/>
      <w:jc w:val="both"/>
    </w:pPr>
    <w:rPr>
      <w:rFonts w:ascii="Tahoma" w:eastAsia="Calibri" w:hAnsi="Tahoma"/>
      <w:sz w:val="16"/>
      <w:szCs w:val="16"/>
      <w:lang w:val="en-GB" w:eastAsia="x-none"/>
    </w:rPr>
  </w:style>
  <w:style w:type="character" w:customStyle="1" w:styleId="TeksBalonKAR">
    <w:name w:val="Teks Balon KAR"/>
    <w:link w:val="TeksBalon"/>
    <w:uiPriority w:val="99"/>
    <w:rsid w:val="00A746A9"/>
    <w:rPr>
      <w:rFonts w:ascii="Tahoma" w:eastAsia="Calibri" w:hAnsi="Tahoma"/>
      <w:sz w:val="16"/>
      <w:szCs w:val="16"/>
      <w:lang w:val="en-GB" w:eastAsia="x-none"/>
    </w:rPr>
  </w:style>
  <w:style w:type="paragraph" w:customStyle="1" w:styleId="CPTABLE">
    <w:name w:val="CP_TABLE"/>
    <w:basedOn w:val="Normal"/>
    <w:qFormat/>
    <w:rsid w:val="00EC7A18"/>
    <w:pPr>
      <w:numPr>
        <w:numId w:val="2"/>
      </w:numPr>
      <w:spacing w:before="240" w:after="120"/>
      <w:ind w:left="850" w:hanging="493"/>
      <w:contextualSpacing/>
      <w:jc w:val="center"/>
    </w:pPr>
    <w:rPr>
      <w:rFonts w:eastAsia="Calibri" w:cs="Calibri"/>
      <w:lang w:val="en-US"/>
    </w:rPr>
  </w:style>
  <w:style w:type="character" w:customStyle="1" w:styleId="st">
    <w:name w:val="st"/>
    <w:basedOn w:val="FontParagrafDefault"/>
    <w:rsid w:val="00EC7A18"/>
  </w:style>
  <w:style w:type="character" w:customStyle="1" w:styleId="ilfuvd">
    <w:name w:val="ilfuvd"/>
    <w:basedOn w:val="FontParagrafDefault"/>
    <w:rsid w:val="00EC7A18"/>
  </w:style>
  <w:style w:type="paragraph" w:customStyle="1" w:styleId="E-JOURNALAbstrakTitle">
    <w:name w:val="E-JOURNAL_AbstrakTitle"/>
    <w:basedOn w:val="Normal"/>
    <w:qFormat/>
    <w:rsid w:val="00B44D61"/>
    <w:pPr>
      <w:spacing w:after="60"/>
      <w:jc w:val="center"/>
    </w:pPr>
    <w:rPr>
      <w:b/>
      <w:sz w:val="22"/>
    </w:rPr>
  </w:style>
  <w:style w:type="paragraph" w:customStyle="1" w:styleId="E-JOURNALAuthor">
    <w:name w:val="E-JOURNAL_Author"/>
    <w:basedOn w:val="Normal"/>
    <w:qFormat/>
    <w:rsid w:val="00B44D61"/>
    <w:pPr>
      <w:jc w:val="center"/>
    </w:pPr>
    <w:rPr>
      <w:sz w:val="22"/>
      <w:szCs w:val="22"/>
    </w:rPr>
  </w:style>
  <w:style w:type="character" w:styleId="SebutanYangBelumTerselesaikan">
    <w:name w:val="Unresolved Mention"/>
    <w:basedOn w:val="FontParagrafDefault"/>
    <w:uiPriority w:val="99"/>
    <w:semiHidden/>
    <w:unhideWhenUsed/>
    <w:rsid w:val="00FD5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357963">
      <w:bodyDiv w:val="1"/>
      <w:marLeft w:val="0"/>
      <w:marRight w:val="0"/>
      <w:marTop w:val="0"/>
      <w:marBottom w:val="0"/>
      <w:divBdr>
        <w:top w:val="none" w:sz="0" w:space="0" w:color="auto"/>
        <w:left w:val="none" w:sz="0" w:space="0" w:color="auto"/>
        <w:bottom w:val="none" w:sz="0" w:space="0" w:color="auto"/>
        <w:right w:val="none" w:sz="0" w:space="0" w:color="auto"/>
      </w:divBdr>
      <w:divsChild>
        <w:div w:id="1266307945">
          <w:marLeft w:val="0"/>
          <w:marRight w:val="0"/>
          <w:marTop w:val="0"/>
          <w:marBottom w:val="0"/>
          <w:divBdr>
            <w:top w:val="none" w:sz="0" w:space="0" w:color="auto"/>
            <w:left w:val="none" w:sz="0" w:space="0" w:color="auto"/>
            <w:bottom w:val="none" w:sz="0" w:space="0" w:color="auto"/>
            <w:right w:val="none" w:sz="0" w:space="0" w:color="auto"/>
          </w:divBdr>
          <w:divsChild>
            <w:div w:id="63249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7649">
      <w:bodyDiv w:val="1"/>
      <w:marLeft w:val="0"/>
      <w:marRight w:val="0"/>
      <w:marTop w:val="0"/>
      <w:marBottom w:val="0"/>
      <w:divBdr>
        <w:top w:val="none" w:sz="0" w:space="0" w:color="auto"/>
        <w:left w:val="none" w:sz="0" w:space="0" w:color="auto"/>
        <w:bottom w:val="none" w:sz="0" w:space="0" w:color="auto"/>
        <w:right w:val="none" w:sz="0" w:space="0" w:color="auto"/>
      </w:divBdr>
      <w:divsChild>
        <w:div w:id="1386487943">
          <w:marLeft w:val="0"/>
          <w:marRight w:val="0"/>
          <w:marTop w:val="0"/>
          <w:marBottom w:val="0"/>
          <w:divBdr>
            <w:top w:val="none" w:sz="0" w:space="0" w:color="auto"/>
            <w:left w:val="none" w:sz="0" w:space="0" w:color="auto"/>
            <w:bottom w:val="none" w:sz="0" w:space="0" w:color="auto"/>
            <w:right w:val="none" w:sz="0" w:space="0" w:color="auto"/>
          </w:divBdr>
          <w:divsChild>
            <w:div w:id="8238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yoty@fkip.untan.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212309@student.upm.edu.my" TargetMode="External"/><Relationship Id="rId4" Type="http://schemas.openxmlformats.org/officeDocument/2006/relationships/settings" Target="settings.xml"/><Relationship Id="rId9" Type="http://schemas.openxmlformats.org/officeDocument/2006/relationships/hyperlink" Target="mailto:helminsyah@bbg.ac.i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1EA98-B65F-4AB8-AB87-E2062F4F7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3486</Words>
  <Characters>24060</Characters>
  <Application>Microsoft Office Word</Application>
  <DocSecurity>0</DocSecurity>
  <Lines>687</Lines>
  <Paragraphs>324</Paragraphs>
  <ScaleCrop>false</ScaleCrop>
  <HeadingPairs>
    <vt:vector size="2" baseType="variant">
      <vt:variant>
        <vt:lpstr>Title</vt:lpstr>
      </vt:variant>
      <vt:variant>
        <vt:i4>1</vt:i4>
      </vt:variant>
    </vt:vector>
  </HeadingPairs>
  <TitlesOfParts>
    <vt:vector size="1" baseType="lpstr">
      <vt:lpstr>Jurnal Ilmiah Peuradeun</vt:lpstr>
    </vt:vector>
  </TitlesOfParts>
  <Company>TABRANI</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Ilmiah Peuradeun</dc:title>
  <dc:subject>JIP-International Journal</dc:subject>
  <dc:creator>SCAD Independent</dc:creator>
  <cp:keywords>jurnal ilmiah peuradeun, international journal, multidisciplinary</cp:keywords>
  <dc:description>www.scadindependent.org</dc:description>
  <cp:lastModifiedBy>mardhatillah.pasca</cp:lastModifiedBy>
  <cp:revision>2</cp:revision>
  <cp:lastPrinted>2026-07-25T12:07:00Z</cp:lastPrinted>
  <dcterms:created xsi:type="dcterms:W3CDTF">2026-07-25T14:18:00Z</dcterms:created>
  <dcterms:modified xsi:type="dcterms:W3CDTF">2026-07-25T14:18:00Z</dcterms:modified>
  <cp:category>Publish</cp:category>
</cp:coreProperties>
</file>